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6.2.0.0 -->
  <w:background w:color="ffffff">
    <v:background id="_x0000_s1025" filled="t" fillcolor="white"/>
  </w:background>
  <w:body>
    <w:p>
      <w:pPr>
        <w:widowControl w:val="0"/>
        <w:spacing w:before="0" w:after="0"/>
        <w:ind w:firstLine="284"/>
        <w:jc w:val="both"/>
        <w:rPr>
          <w:sz w:val="25"/>
          <w:szCs w:val="25"/>
        </w:rPr>
      </w:pPr>
      <w:r>
        <w:rPr>
          <w:rFonts w:ascii="Times New Roman" w:eastAsia="Times New Roman" w:hAnsi="Times New Roman" w:cs="Times New Roman"/>
          <w:sz w:val="25"/>
          <w:szCs w:val="25"/>
          <w:highlight w:val="none"/>
        </w:rPr>
        <w:t xml:space="preserve">Судья 1-ой инстанции: </w:t>
      </w:r>
      <w:r>
        <w:rPr>
          <w:rFonts w:ascii="Times New Roman" w:eastAsia="Times New Roman" w:hAnsi="Times New Roman" w:cs="Times New Roman"/>
          <w:sz w:val="25"/>
          <w:szCs w:val="25"/>
          <w:highlight w:val="none"/>
        </w:rPr>
        <w:t>Боронина</w:t>
      </w:r>
      <w:r>
        <w:rPr>
          <w:rFonts w:ascii="Times New Roman" w:eastAsia="Times New Roman" w:hAnsi="Times New Roman" w:cs="Times New Roman"/>
          <w:sz w:val="25"/>
          <w:szCs w:val="25"/>
          <w:highlight w:val="none"/>
        </w:rPr>
        <w:t xml:space="preserve"> Е.В.</w:t>
      </w:r>
      <w:r>
        <w:rPr>
          <w:rFonts w:ascii="Times New Roman" w:eastAsia="Times New Roman" w:hAnsi="Times New Roman" w:cs="Times New Roman"/>
          <w:sz w:val="25"/>
          <w:szCs w:val="25"/>
          <w:highlight w:val="none"/>
        </w:rPr>
        <w:t xml:space="preserve">                                                          </w:t>
      </w:r>
    </w:p>
    <w:p>
      <w:pPr>
        <w:widowControl w:val="0"/>
        <w:spacing w:before="0" w:after="0"/>
        <w:ind w:firstLine="284"/>
        <w:jc w:val="right"/>
        <w:rPr>
          <w:sz w:val="25"/>
          <w:szCs w:val="25"/>
        </w:rPr>
      </w:pPr>
      <w:r>
        <w:rPr>
          <w:rFonts w:ascii="Times New Roman" w:eastAsia="Times New Roman" w:hAnsi="Times New Roman" w:cs="Times New Roman"/>
          <w:sz w:val="25"/>
          <w:szCs w:val="25"/>
          <w:highlight w:val="none"/>
        </w:rPr>
        <w:t xml:space="preserve">    </w:t>
      </w:r>
      <w:r>
        <w:rPr>
          <w:rFonts w:ascii="Times New Roman" w:eastAsia="Times New Roman" w:hAnsi="Times New Roman" w:cs="Times New Roman"/>
          <w:sz w:val="25"/>
          <w:szCs w:val="25"/>
          <w:highlight w:val="none"/>
        </w:rPr>
        <w:t>Дело № 33-</w:t>
      </w:r>
      <w:r>
        <w:rPr>
          <w:rFonts w:ascii="Times New Roman" w:eastAsia="Times New Roman" w:hAnsi="Times New Roman" w:cs="Times New Roman"/>
          <w:sz w:val="25"/>
          <w:szCs w:val="25"/>
          <w:highlight w:val="none"/>
        </w:rPr>
        <w:t>19528</w:t>
      </w:r>
      <w:r>
        <w:rPr>
          <w:rFonts w:ascii="Times New Roman" w:eastAsia="Times New Roman" w:hAnsi="Times New Roman" w:cs="Times New Roman"/>
          <w:sz w:val="25"/>
          <w:szCs w:val="25"/>
          <w:highlight w:val="none"/>
        </w:rPr>
        <w:t>/24</w:t>
      </w:r>
    </w:p>
    <w:p>
      <w:pPr>
        <w:widowControl w:val="0"/>
        <w:spacing w:before="0" w:after="0"/>
        <w:ind w:firstLine="284"/>
        <w:jc w:val="right"/>
        <w:rPr>
          <w:sz w:val="25"/>
          <w:szCs w:val="25"/>
        </w:rPr>
      </w:pPr>
      <w:r>
        <w:rPr>
          <w:rFonts w:ascii="Times New Roman" w:eastAsia="Times New Roman" w:hAnsi="Times New Roman" w:cs="Times New Roman"/>
          <w:sz w:val="25"/>
          <w:szCs w:val="25"/>
          <w:highlight w:val="none"/>
        </w:rPr>
        <w:t xml:space="preserve">     </w:t>
      </w:r>
      <w:r>
        <w:rPr>
          <w:rFonts w:ascii="Times New Roman" w:eastAsia="Times New Roman" w:hAnsi="Times New Roman" w:cs="Times New Roman"/>
          <w:sz w:val="25"/>
          <w:szCs w:val="25"/>
          <w:highlight w:val="none"/>
        </w:rPr>
        <w:t xml:space="preserve">УИД </w:t>
      </w:r>
      <w:r>
        <w:rPr>
          <w:rFonts w:ascii="Times New Roman" w:eastAsia="Times New Roman" w:hAnsi="Times New Roman" w:cs="Times New Roman"/>
          <w:sz w:val="25"/>
          <w:szCs w:val="25"/>
          <w:highlight w:val="none"/>
        </w:rPr>
        <w:t>23</w:t>
      </w:r>
      <w:r>
        <w:rPr>
          <w:rFonts w:ascii="Times New Roman" w:eastAsia="Times New Roman" w:hAnsi="Times New Roman" w:cs="Times New Roman"/>
          <w:sz w:val="25"/>
          <w:szCs w:val="25"/>
          <w:highlight w:val="none"/>
        </w:rPr>
        <w:t>RS</w:t>
      </w:r>
      <w:r>
        <w:rPr>
          <w:rFonts w:ascii="Times New Roman" w:eastAsia="Times New Roman" w:hAnsi="Times New Roman" w:cs="Times New Roman"/>
          <w:sz w:val="25"/>
          <w:szCs w:val="25"/>
          <w:highlight w:val="none"/>
        </w:rPr>
        <w:t>0059-01-2022-012402-27</w:t>
      </w:r>
    </w:p>
    <w:p>
      <w:pPr>
        <w:widowControl w:val="0"/>
        <w:spacing w:before="0" w:after="0"/>
        <w:ind w:firstLine="284"/>
        <w:jc w:val="both"/>
        <w:rPr>
          <w:sz w:val="25"/>
          <w:szCs w:val="25"/>
        </w:rPr>
      </w:pPr>
    </w:p>
    <w:p>
      <w:pPr>
        <w:widowControl w:val="0"/>
        <w:spacing w:before="0" w:after="0"/>
        <w:ind w:firstLine="284"/>
        <w:jc w:val="both"/>
        <w:rPr>
          <w:sz w:val="25"/>
          <w:szCs w:val="25"/>
        </w:rPr>
      </w:pPr>
    </w:p>
    <w:p>
      <w:pPr>
        <w:widowControl w:val="0"/>
        <w:spacing w:before="0" w:after="0"/>
        <w:ind w:firstLine="284"/>
        <w:jc w:val="center"/>
        <w:rPr>
          <w:sz w:val="25"/>
          <w:szCs w:val="25"/>
        </w:rPr>
      </w:pPr>
      <w:r>
        <w:rPr>
          <w:rFonts w:ascii="Times New Roman" w:eastAsia="Times New Roman" w:hAnsi="Times New Roman" w:cs="Times New Roman"/>
          <w:sz w:val="25"/>
          <w:szCs w:val="25"/>
          <w:highlight w:val="none"/>
        </w:rPr>
        <w:t>АПЕЛЛЯЦИОННОЕ ОПРЕДЕЛЕНИЕ</w:t>
      </w:r>
    </w:p>
    <w:p>
      <w:pPr>
        <w:widowControl w:val="0"/>
        <w:spacing w:before="0" w:after="0"/>
        <w:ind w:firstLine="284"/>
        <w:jc w:val="both"/>
        <w:rPr>
          <w:sz w:val="25"/>
          <w:szCs w:val="25"/>
        </w:rPr>
      </w:pPr>
    </w:p>
    <w:p>
      <w:pPr>
        <w:widowControl w:val="0"/>
        <w:spacing w:before="0" w:after="0"/>
        <w:ind w:firstLine="284"/>
        <w:jc w:val="both"/>
        <w:rPr>
          <w:sz w:val="25"/>
          <w:szCs w:val="25"/>
        </w:rPr>
      </w:pPr>
      <w:r>
        <w:rPr>
          <w:rFonts w:ascii="Times New Roman" w:eastAsia="Times New Roman" w:hAnsi="Times New Roman" w:cs="Times New Roman"/>
          <w:sz w:val="25"/>
          <w:szCs w:val="25"/>
          <w:highlight w:val="none"/>
        </w:rPr>
        <w:t>город Москва</w:t>
      </w:r>
      <w:r>
        <w:rPr>
          <w:rFonts w:ascii="Times New Roman" w:eastAsia="Times New Roman" w:hAnsi="Times New Roman" w:cs="Times New Roman"/>
          <w:sz w:val="25"/>
          <w:szCs w:val="25"/>
          <w:highlight w:val="none"/>
        </w:rPr>
        <w:t xml:space="preserve">                                                                                              </w:t>
      </w:r>
      <w:r>
        <w:rPr>
          <w:rFonts w:ascii="Times New Roman" w:eastAsia="Times New Roman" w:hAnsi="Times New Roman" w:cs="Times New Roman"/>
          <w:sz w:val="25"/>
          <w:szCs w:val="25"/>
          <w:highlight w:val="none"/>
        </w:rPr>
        <w:t>30</w:t>
      </w:r>
      <w:r>
        <w:rPr>
          <w:rFonts w:ascii="Times New Roman" w:eastAsia="Times New Roman" w:hAnsi="Times New Roman" w:cs="Times New Roman"/>
          <w:sz w:val="25"/>
          <w:szCs w:val="25"/>
          <w:highlight w:val="none"/>
        </w:rPr>
        <w:t xml:space="preserve"> мая 2024 года</w:t>
      </w:r>
    </w:p>
    <w:p>
      <w:pPr>
        <w:widowControl w:val="0"/>
        <w:spacing w:before="0" w:after="0"/>
        <w:ind w:firstLine="284"/>
        <w:jc w:val="both"/>
        <w:rPr>
          <w:sz w:val="25"/>
          <w:szCs w:val="25"/>
        </w:rPr>
      </w:pPr>
    </w:p>
    <w:p>
      <w:pPr>
        <w:widowControl w:val="0"/>
        <w:spacing w:before="0" w:after="0"/>
        <w:ind w:firstLine="851"/>
        <w:jc w:val="both"/>
        <w:rPr>
          <w:sz w:val="25"/>
          <w:szCs w:val="25"/>
        </w:rPr>
      </w:pPr>
      <w:r>
        <w:rPr>
          <w:rFonts w:ascii="Times New Roman" w:eastAsia="Times New Roman" w:hAnsi="Times New Roman" w:cs="Times New Roman"/>
          <w:sz w:val="25"/>
          <w:szCs w:val="25"/>
          <w:highlight w:val="none"/>
        </w:rPr>
        <w:t>Судебная коллегия по гражданским делам Московского городского суда в составе председательствующего судьи Клюевой А.И.</w:t>
      </w:r>
    </w:p>
    <w:p>
      <w:pPr>
        <w:widowControl w:val="0"/>
        <w:spacing w:before="0" w:after="0"/>
        <w:ind w:firstLine="851"/>
        <w:jc w:val="both"/>
        <w:rPr>
          <w:sz w:val="25"/>
          <w:szCs w:val="25"/>
        </w:rPr>
      </w:pPr>
      <w:r>
        <w:rPr>
          <w:rFonts w:ascii="Times New Roman" w:eastAsia="Times New Roman" w:hAnsi="Times New Roman" w:cs="Times New Roman"/>
          <w:sz w:val="25"/>
          <w:szCs w:val="25"/>
          <w:highlight w:val="none"/>
        </w:rPr>
        <w:t xml:space="preserve">и судей Лукьянченко В.В., Тюриной Е.П. </w:t>
      </w:r>
    </w:p>
    <w:p>
      <w:pPr>
        <w:widowControl w:val="0"/>
        <w:spacing w:before="0" w:after="0"/>
        <w:ind w:firstLine="851"/>
        <w:jc w:val="both"/>
        <w:rPr>
          <w:sz w:val="25"/>
          <w:szCs w:val="25"/>
        </w:rPr>
      </w:pPr>
      <w:r>
        <w:rPr>
          <w:rFonts w:ascii="Times New Roman" w:eastAsia="Times New Roman" w:hAnsi="Times New Roman" w:cs="Times New Roman"/>
          <w:sz w:val="25"/>
          <w:szCs w:val="25"/>
          <w:highlight w:val="none"/>
        </w:rPr>
        <w:t xml:space="preserve">при помощнике судьи </w:t>
      </w:r>
      <w:r>
        <w:rPr>
          <w:rFonts w:ascii="Times New Roman" w:eastAsia="Times New Roman" w:hAnsi="Times New Roman" w:cs="Times New Roman"/>
          <w:sz w:val="25"/>
          <w:szCs w:val="25"/>
          <w:highlight w:val="none"/>
        </w:rPr>
        <w:t>Шидаковой</w:t>
      </w:r>
      <w:r>
        <w:rPr>
          <w:rFonts w:ascii="Times New Roman" w:eastAsia="Times New Roman" w:hAnsi="Times New Roman" w:cs="Times New Roman"/>
          <w:sz w:val="25"/>
          <w:szCs w:val="25"/>
          <w:highlight w:val="none"/>
        </w:rPr>
        <w:t xml:space="preserve"> Р.Х.</w:t>
      </w:r>
      <w:r>
        <w:rPr>
          <w:rFonts w:ascii="Times New Roman" w:eastAsia="Times New Roman" w:hAnsi="Times New Roman" w:cs="Times New Roman"/>
          <w:sz w:val="25"/>
          <w:szCs w:val="25"/>
          <w:highlight w:val="none"/>
        </w:rPr>
        <w:t xml:space="preserve"> </w:t>
      </w:r>
    </w:p>
    <w:p>
      <w:pPr>
        <w:widowControl w:val="0"/>
        <w:spacing w:before="0" w:after="0"/>
        <w:ind w:firstLine="851"/>
        <w:jc w:val="both"/>
        <w:rPr>
          <w:sz w:val="25"/>
          <w:szCs w:val="25"/>
        </w:rPr>
      </w:pPr>
      <w:r>
        <w:rPr>
          <w:rFonts w:ascii="Times New Roman" w:eastAsia="Times New Roman" w:hAnsi="Times New Roman" w:cs="Times New Roman"/>
          <w:sz w:val="25"/>
          <w:szCs w:val="25"/>
          <w:highlight w:val="none"/>
        </w:rPr>
        <w:t>рассмотрела в открытом судебном заседании по докладу судьи Клюевой А.И.</w:t>
      </w:r>
      <w:r>
        <w:rPr>
          <w:rFonts w:ascii="Times New Roman" w:eastAsia="Times New Roman" w:hAnsi="Times New Roman" w:cs="Times New Roman"/>
          <w:sz w:val="25"/>
          <w:szCs w:val="25"/>
          <w:highlight w:val="none"/>
        </w:rPr>
        <w:t xml:space="preserve">  </w:t>
      </w:r>
    </w:p>
    <w:p>
      <w:pPr>
        <w:widowControl w:val="0"/>
        <w:spacing w:before="0" w:after="0"/>
        <w:ind w:firstLine="851"/>
        <w:jc w:val="both"/>
        <w:rPr>
          <w:sz w:val="25"/>
          <w:szCs w:val="25"/>
        </w:rPr>
      </w:pPr>
      <w:r>
        <w:rPr>
          <w:rFonts w:ascii="Times New Roman" w:eastAsia="Times New Roman" w:hAnsi="Times New Roman" w:cs="Times New Roman"/>
          <w:sz w:val="25"/>
          <w:szCs w:val="25"/>
          <w:highlight w:val="none"/>
        </w:rPr>
        <w:t xml:space="preserve">гражданское дело </w:t>
      </w:r>
      <w:r>
        <w:rPr>
          <w:rFonts w:ascii="Times New Roman" w:eastAsia="Times New Roman" w:hAnsi="Times New Roman" w:cs="Times New Roman"/>
          <w:sz w:val="25"/>
          <w:szCs w:val="25"/>
          <w:highlight w:val="none"/>
        </w:rPr>
        <w:t>№ № 2-</w:t>
      </w:r>
      <w:r>
        <w:rPr>
          <w:rFonts w:ascii="Times New Roman" w:eastAsia="Times New Roman" w:hAnsi="Times New Roman" w:cs="Times New Roman"/>
          <w:sz w:val="25"/>
          <w:szCs w:val="25"/>
          <w:highlight w:val="none"/>
        </w:rPr>
        <w:t>3717</w:t>
      </w:r>
      <w:r>
        <w:rPr>
          <w:rFonts w:ascii="Times New Roman" w:eastAsia="Times New Roman" w:hAnsi="Times New Roman" w:cs="Times New Roman"/>
          <w:sz w:val="25"/>
          <w:szCs w:val="25"/>
          <w:highlight w:val="none"/>
        </w:rPr>
        <w:t xml:space="preserve">/23 </w:t>
      </w:r>
      <w:r>
        <w:rPr>
          <w:rFonts w:ascii="Times New Roman" w:eastAsia="Times New Roman" w:hAnsi="Times New Roman" w:cs="Times New Roman"/>
          <w:sz w:val="25"/>
          <w:szCs w:val="25"/>
          <w:highlight w:val="none"/>
        </w:rPr>
        <w:t xml:space="preserve">по апелляционной жалобе истца </w:t>
      </w:r>
      <w:r>
        <w:rPr>
          <w:rFonts w:ascii="Times New Roman" w:eastAsia="Times New Roman" w:hAnsi="Times New Roman" w:cs="Times New Roman"/>
          <w:sz w:val="25"/>
          <w:szCs w:val="25"/>
          <w:highlight w:val="none"/>
        </w:rPr>
        <w:t>Ерченко Л.В.</w:t>
      </w:r>
      <w:r>
        <w:rPr>
          <w:rFonts w:ascii="Times New Roman" w:eastAsia="Times New Roman" w:hAnsi="Times New Roman" w:cs="Times New Roman"/>
          <w:sz w:val="25"/>
          <w:szCs w:val="25"/>
          <w:highlight w:val="none"/>
        </w:rPr>
        <w:t xml:space="preserve"> на решение </w:t>
      </w:r>
      <w:r>
        <w:rPr>
          <w:rFonts w:ascii="Times New Roman" w:eastAsia="Times New Roman" w:hAnsi="Times New Roman" w:cs="Times New Roman"/>
          <w:sz w:val="25"/>
          <w:szCs w:val="25"/>
          <w:highlight w:val="none"/>
        </w:rPr>
        <w:t>Лефортовского</w:t>
      </w:r>
      <w:r>
        <w:rPr>
          <w:rFonts w:ascii="Times New Roman" w:eastAsia="Times New Roman" w:hAnsi="Times New Roman" w:cs="Times New Roman"/>
          <w:sz w:val="25"/>
          <w:szCs w:val="25"/>
          <w:highlight w:val="none"/>
        </w:rPr>
        <w:t xml:space="preserve"> районного суда г. Москвы от </w:t>
      </w:r>
      <w:r>
        <w:rPr>
          <w:rFonts w:ascii="Times New Roman" w:eastAsia="Times New Roman" w:hAnsi="Times New Roman" w:cs="Times New Roman"/>
          <w:sz w:val="25"/>
          <w:szCs w:val="25"/>
          <w:highlight w:val="none"/>
        </w:rPr>
        <w:t>8</w:t>
      </w:r>
      <w:r>
        <w:rPr>
          <w:rFonts w:ascii="Times New Roman" w:eastAsia="Times New Roman" w:hAnsi="Times New Roman" w:cs="Times New Roman"/>
          <w:sz w:val="25"/>
          <w:szCs w:val="25"/>
          <w:highlight w:val="none"/>
        </w:rPr>
        <w:t xml:space="preserve"> </w:t>
      </w:r>
      <w:r>
        <w:rPr>
          <w:rFonts w:ascii="Times New Roman" w:eastAsia="Times New Roman" w:hAnsi="Times New Roman" w:cs="Times New Roman"/>
          <w:sz w:val="25"/>
          <w:szCs w:val="25"/>
          <w:highlight w:val="none"/>
        </w:rPr>
        <w:t>августа</w:t>
      </w:r>
      <w:r>
        <w:rPr>
          <w:rFonts w:ascii="Times New Roman" w:eastAsia="Times New Roman" w:hAnsi="Times New Roman" w:cs="Times New Roman"/>
          <w:sz w:val="25"/>
          <w:szCs w:val="25"/>
          <w:highlight w:val="none"/>
        </w:rPr>
        <w:t xml:space="preserve">  </w:t>
      </w:r>
      <w:r>
        <w:rPr>
          <w:rFonts w:ascii="Times New Roman" w:eastAsia="Times New Roman" w:hAnsi="Times New Roman" w:cs="Times New Roman"/>
          <w:sz w:val="25"/>
          <w:szCs w:val="25"/>
          <w:highlight w:val="none"/>
        </w:rPr>
        <w:t>2023</w:t>
      </w:r>
      <w:r>
        <w:rPr>
          <w:rFonts w:ascii="Times New Roman" w:eastAsia="Times New Roman" w:hAnsi="Times New Roman" w:cs="Times New Roman"/>
          <w:sz w:val="25"/>
          <w:szCs w:val="25"/>
          <w:highlight w:val="none"/>
        </w:rPr>
        <w:t xml:space="preserve"> года</w:t>
      </w:r>
      <w:r>
        <w:rPr>
          <w:rFonts w:ascii="Times New Roman" w:eastAsia="Times New Roman" w:hAnsi="Times New Roman" w:cs="Times New Roman"/>
          <w:sz w:val="25"/>
          <w:szCs w:val="25"/>
          <w:highlight w:val="none"/>
        </w:rPr>
        <w:t xml:space="preserve">, которым постановлено: </w:t>
      </w:r>
    </w:p>
    <w:p>
      <w:pPr>
        <w:spacing w:before="0" w:after="0"/>
        <w:ind w:firstLine="851"/>
        <w:jc w:val="both"/>
        <w:rPr>
          <w:sz w:val="25"/>
          <w:szCs w:val="25"/>
        </w:rPr>
      </w:pPr>
      <w:r>
        <w:rPr>
          <w:rFonts w:ascii="Times New Roman" w:eastAsia="Times New Roman" w:hAnsi="Times New Roman" w:cs="Times New Roman"/>
          <w:sz w:val="25"/>
          <w:szCs w:val="25"/>
          <w:highlight w:val="none"/>
        </w:rPr>
        <w:t xml:space="preserve">В удовлетворении иска </w:t>
      </w:r>
      <w:r>
        <w:rPr>
          <w:rFonts w:ascii="Times New Roman" w:eastAsia="Times New Roman" w:hAnsi="Times New Roman" w:cs="Times New Roman"/>
          <w:sz w:val="25"/>
          <w:szCs w:val="25"/>
          <w:highlight w:val="none"/>
        </w:rPr>
        <w:t xml:space="preserve">Ерченко </w:t>
      </w:r>
      <w:r>
        <w:rPr>
          <w:rStyle w:val="cat-UserDefinedgrp-26rplc-10"/>
          <w:rFonts w:ascii="Times New Roman" w:eastAsia="Times New Roman" w:hAnsi="Times New Roman" w:cs="Times New Roman"/>
          <w:sz w:val="25"/>
          <w:szCs w:val="25"/>
          <w:highlight w:val="none"/>
        </w:rPr>
        <w:t>...</w:t>
      </w:r>
      <w:r>
        <w:rPr>
          <w:rFonts w:ascii="Times New Roman" w:eastAsia="Times New Roman" w:hAnsi="Times New Roman" w:cs="Times New Roman"/>
          <w:sz w:val="25"/>
          <w:szCs w:val="25"/>
          <w:highlight w:val="none"/>
        </w:rPr>
        <w:t xml:space="preserve"> к АО «ДОМ.РФ», ППК «Фонд развития территорий» о взыскании денежных средств – отказать.</w:t>
      </w:r>
    </w:p>
    <w:p>
      <w:pPr>
        <w:spacing w:before="0" w:after="0"/>
        <w:ind w:firstLine="851"/>
        <w:jc w:val="both"/>
        <w:rPr>
          <w:sz w:val="25"/>
          <w:szCs w:val="25"/>
        </w:rPr>
      </w:pPr>
    </w:p>
    <w:p>
      <w:pPr>
        <w:widowControl w:val="0"/>
        <w:spacing w:before="0" w:after="0"/>
        <w:ind w:firstLine="851"/>
        <w:jc w:val="center"/>
        <w:rPr>
          <w:sz w:val="25"/>
          <w:szCs w:val="25"/>
        </w:rPr>
      </w:pPr>
      <w:r>
        <w:rPr>
          <w:rFonts w:ascii="Times New Roman" w:eastAsia="Times New Roman" w:hAnsi="Times New Roman" w:cs="Times New Roman"/>
          <w:sz w:val="25"/>
          <w:szCs w:val="25"/>
          <w:highlight w:val="none"/>
        </w:rPr>
        <w:t>УСТАНОВИЛА</w:t>
      </w:r>
    </w:p>
    <w:p>
      <w:pPr>
        <w:widowControl w:val="0"/>
        <w:spacing w:before="0" w:after="0"/>
        <w:ind w:firstLine="851"/>
        <w:jc w:val="center"/>
        <w:rPr>
          <w:sz w:val="25"/>
          <w:szCs w:val="25"/>
        </w:rPr>
      </w:pPr>
    </w:p>
    <w:p>
      <w:pPr>
        <w:spacing w:before="0" w:after="0"/>
        <w:ind w:firstLine="710"/>
        <w:jc w:val="both"/>
        <w:rPr>
          <w:sz w:val="25"/>
          <w:szCs w:val="25"/>
        </w:rPr>
      </w:pPr>
      <w:r>
        <w:rPr>
          <w:rFonts w:ascii="Times New Roman" w:eastAsia="Times New Roman" w:hAnsi="Times New Roman" w:cs="Times New Roman"/>
          <w:sz w:val="25"/>
          <w:szCs w:val="25"/>
          <w:highlight w:val="none"/>
        </w:rPr>
        <w:t xml:space="preserve">Истец Ерченко Л.В., согласно уточнению, обратился в суд с иском к ответчикам АО «ДОМ.РФ», ППК «Фонд развития территорий» о взыскании в его (истца) пользу </w:t>
      </w:r>
      <w:r>
        <w:rPr>
          <w:rStyle w:val="cat-Sumgrp-20rplc-12"/>
          <w:rFonts w:ascii="Times New Roman" w:eastAsia="Times New Roman" w:hAnsi="Times New Roman" w:cs="Times New Roman"/>
          <w:sz w:val="25"/>
          <w:szCs w:val="25"/>
          <w:highlight w:val="none"/>
        </w:rPr>
        <w:t>сумма</w:t>
      </w:r>
      <w:r>
        <w:rPr>
          <w:rFonts w:ascii="Times New Roman" w:eastAsia="Times New Roman" w:hAnsi="Times New Roman" w:cs="Times New Roman"/>
          <w:sz w:val="25"/>
          <w:szCs w:val="25"/>
          <w:highlight w:val="none"/>
        </w:rPr>
        <w:t xml:space="preserve">, а также расходов по уплате государственной пошлины в размере </w:t>
      </w:r>
      <w:r>
        <w:rPr>
          <w:rStyle w:val="cat-Sumgrp-21rplc-13"/>
          <w:rFonts w:ascii="Times New Roman" w:eastAsia="Times New Roman" w:hAnsi="Times New Roman" w:cs="Times New Roman"/>
          <w:sz w:val="25"/>
          <w:szCs w:val="25"/>
          <w:highlight w:val="none"/>
        </w:rPr>
        <w:t>сумма</w:t>
      </w:r>
      <w:r>
        <w:rPr>
          <w:rFonts w:ascii="Times New Roman" w:eastAsia="Times New Roman" w:hAnsi="Times New Roman" w:cs="Times New Roman"/>
          <w:sz w:val="25"/>
          <w:szCs w:val="25"/>
          <w:highlight w:val="none"/>
        </w:rPr>
        <w:t>, обосновывая требования нарушением его прав и законных интересов.</w:t>
      </w:r>
    </w:p>
    <w:p>
      <w:pPr>
        <w:spacing w:before="0" w:after="0"/>
        <w:ind w:firstLine="710"/>
        <w:jc w:val="both"/>
        <w:rPr>
          <w:sz w:val="25"/>
          <w:szCs w:val="25"/>
        </w:rPr>
      </w:pPr>
      <w:r>
        <w:rPr>
          <w:rFonts w:ascii="Times New Roman" w:eastAsia="Times New Roman" w:hAnsi="Times New Roman" w:cs="Times New Roman"/>
          <w:sz w:val="25"/>
          <w:szCs w:val="25"/>
          <w:highlight w:val="none"/>
        </w:rPr>
        <w:t>Истец Ерченко Л.В. в судебное заседание не явился, извещался судом о времени и месте судебного заседания надлежащим образом.</w:t>
      </w:r>
    </w:p>
    <w:p>
      <w:pPr>
        <w:spacing w:before="0" w:after="0"/>
        <w:ind w:firstLine="710"/>
        <w:jc w:val="both"/>
        <w:rPr>
          <w:sz w:val="25"/>
          <w:szCs w:val="25"/>
        </w:rPr>
      </w:pPr>
      <w:r>
        <w:rPr>
          <w:rFonts w:ascii="Times New Roman" w:eastAsia="Times New Roman" w:hAnsi="Times New Roman" w:cs="Times New Roman"/>
          <w:sz w:val="25"/>
          <w:szCs w:val="25"/>
          <w:highlight w:val="none"/>
        </w:rPr>
        <w:t>Представитель ответчика (ППК «Фонд развития территорий») по доверенности Султанов Б.Р. в судебное заседание явился, исковые требования не признал.</w:t>
      </w:r>
    </w:p>
    <w:p>
      <w:pPr>
        <w:spacing w:before="0" w:after="0"/>
        <w:ind w:firstLine="710"/>
        <w:jc w:val="both"/>
        <w:rPr>
          <w:sz w:val="25"/>
          <w:szCs w:val="25"/>
        </w:rPr>
      </w:pPr>
      <w:r>
        <w:rPr>
          <w:rFonts w:ascii="Times New Roman" w:eastAsia="Times New Roman" w:hAnsi="Times New Roman" w:cs="Times New Roman"/>
          <w:sz w:val="25"/>
          <w:szCs w:val="25"/>
          <w:highlight w:val="none"/>
        </w:rPr>
        <w:t>Представитель ответчика (АО «ДОМ.РФ») в судебное заседание не явился, извещался судом о времени и месте судебного заседания надлежащим образом, в материалы дела представлены возражения на иск.</w:t>
      </w:r>
    </w:p>
    <w:p>
      <w:pPr>
        <w:spacing w:before="0" w:after="0"/>
        <w:ind w:firstLine="710"/>
        <w:jc w:val="both"/>
        <w:rPr>
          <w:sz w:val="25"/>
          <w:szCs w:val="25"/>
        </w:rPr>
      </w:pPr>
      <w:r>
        <w:rPr>
          <w:rFonts w:ascii="Times New Roman" w:eastAsia="Times New Roman" w:hAnsi="Times New Roman" w:cs="Times New Roman"/>
          <w:sz w:val="25"/>
          <w:szCs w:val="25"/>
          <w:highlight w:val="none"/>
        </w:rPr>
        <w:t>Представители третьих лиц (ООО «Сочи-Абсолют», АО «Банк ДОМ.РФ») в судебное заседание не явились, извещались судом о времени и месте судебного заседания надлежащим образом.</w:t>
      </w:r>
    </w:p>
    <w:p>
      <w:pPr>
        <w:spacing w:before="0" w:after="0"/>
        <w:ind w:firstLine="710"/>
        <w:jc w:val="both"/>
        <w:rPr>
          <w:sz w:val="25"/>
          <w:szCs w:val="25"/>
        </w:rPr>
      </w:pPr>
      <w:r>
        <w:rPr>
          <w:rFonts w:ascii="Times New Roman" w:eastAsia="Times New Roman" w:hAnsi="Times New Roman" w:cs="Times New Roman"/>
          <w:sz w:val="25"/>
          <w:szCs w:val="25"/>
          <w:highlight w:val="none"/>
        </w:rPr>
        <w:t xml:space="preserve">Третьи лица (конкурсные управляющие Курочкин В.И. и </w:t>
      </w:r>
      <w:r>
        <w:rPr>
          <w:rFonts w:ascii="Times New Roman" w:eastAsia="Times New Roman" w:hAnsi="Times New Roman" w:cs="Times New Roman"/>
          <w:sz w:val="25"/>
          <w:szCs w:val="25"/>
          <w:highlight w:val="none"/>
        </w:rPr>
        <w:t>Байрамбеков</w:t>
      </w:r>
      <w:r>
        <w:rPr>
          <w:rFonts w:ascii="Times New Roman" w:eastAsia="Times New Roman" w:hAnsi="Times New Roman" w:cs="Times New Roman"/>
          <w:sz w:val="25"/>
          <w:szCs w:val="25"/>
          <w:highlight w:val="none"/>
        </w:rPr>
        <w:t xml:space="preserve"> М.М.) в судебное заседание не явились, извещались судом о времени и месте судебного заседания надлежащим образом.</w:t>
      </w:r>
    </w:p>
    <w:p>
      <w:pPr>
        <w:spacing w:before="0" w:after="0"/>
        <w:ind w:firstLine="710"/>
        <w:jc w:val="both"/>
        <w:rPr>
          <w:sz w:val="25"/>
          <w:szCs w:val="25"/>
        </w:rPr>
      </w:pPr>
      <w:r>
        <w:rPr>
          <w:rFonts w:ascii="Times New Roman" w:eastAsia="Times New Roman" w:hAnsi="Times New Roman" w:cs="Times New Roman"/>
          <w:sz w:val="25"/>
          <w:szCs w:val="25"/>
          <w:highlight w:val="none"/>
        </w:rPr>
        <w:t xml:space="preserve">Судом постановлено вышеуказанное решение, об отмене которого просит </w:t>
      </w:r>
      <w:r>
        <w:rPr>
          <w:rFonts w:ascii="Times New Roman" w:eastAsia="Times New Roman" w:hAnsi="Times New Roman" w:cs="Times New Roman"/>
          <w:sz w:val="25"/>
          <w:szCs w:val="25"/>
          <w:highlight w:val="none"/>
        </w:rPr>
        <w:t>истец</w:t>
      </w:r>
      <w:r>
        <w:rPr>
          <w:rFonts w:ascii="Times New Roman" w:eastAsia="Times New Roman" w:hAnsi="Times New Roman" w:cs="Times New Roman"/>
          <w:sz w:val="25"/>
          <w:szCs w:val="25"/>
          <w:highlight w:val="none"/>
        </w:rPr>
        <w:t xml:space="preserve"> </w:t>
      </w:r>
      <w:r>
        <w:rPr>
          <w:rFonts w:ascii="Times New Roman" w:eastAsia="Times New Roman" w:hAnsi="Times New Roman" w:cs="Times New Roman"/>
          <w:sz w:val="25"/>
          <w:szCs w:val="25"/>
          <w:highlight w:val="none"/>
        </w:rPr>
        <w:t>по доводам апелляционной жалобы.</w:t>
      </w:r>
    </w:p>
    <w:p>
      <w:pPr>
        <w:spacing w:before="0" w:after="0"/>
        <w:ind w:firstLine="710"/>
        <w:jc w:val="both"/>
        <w:rPr>
          <w:sz w:val="25"/>
          <w:szCs w:val="25"/>
        </w:rPr>
      </w:pPr>
      <w:r>
        <w:rPr>
          <w:rFonts w:ascii="Times New Roman" w:eastAsia="Times New Roman" w:hAnsi="Times New Roman" w:cs="Times New Roman"/>
          <w:sz w:val="25"/>
          <w:szCs w:val="25"/>
          <w:highlight w:val="none"/>
        </w:rPr>
        <w:t>Стороны в судебное заседание суда апелляционной инстанции не явились, извещены надлежащим образом, доказательств уважительности причин неявки не представили, ходатайств, препятствующих рассмотрению дела, не заявили. При таком положении судебная коллегия в соответствии с ч.3 ст.167 ГПК РФ сочла возможным рассмотреть дело в отсутствие не явившихся лиц, участвующих в деле, признав причины неявки неуважительными.</w:t>
      </w:r>
    </w:p>
    <w:p>
      <w:pPr>
        <w:spacing w:before="0" w:after="0"/>
        <w:ind w:firstLine="710"/>
        <w:jc w:val="both"/>
        <w:rPr>
          <w:sz w:val="25"/>
          <w:szCs w:val="25"/>
        </w:rPr>
      </w:pPr>
      <w:r>
        <w:rPr>
          <w:rFonts w:ascii="Times New Roman" w:eastAsia="Times New Roman" w:hAnsi="Times New Roman" w:cs="Times New Roman"/>
          <w:sz w:val="25"/>
          <w:szCs w:val="25"/>
          <w:highlight w:val="none"/>
        </w:rPr>
        <w:t xml:space="preserve">Изучив материалы дела, проверив и оценив фактические обстоятельства дела и их юридическую квалификацию в пределах доводов апелляционной жалобы, судебная коллегия </w:t>
      </w:r>
      <w:r>
        <w:rPr>
          <w:rFonts w:ascii="Times New Roman" w:eastAsia="Times New Roman" w:hAnsi="Times New Roman" w:cs="Times New Roman"/>
          <w:sz w:val="25"/>
          <w:szCs w:val="25"/>
          <w:highlight w:val="none"/>
        </w:rPr>
        <w:t xml:space="preserve">не находит оснований для отмены или изменения решения суда, постановленного в соответствии с фактическими обстоятельствами и требованиями закона. </w:t>
      </w:r>
    </w:p>
    <w:p>
      <w:pPr>
        <w:spacing w:before="0" w:after="0"/>
        <w:ind w:firstLine="710"/>
        <w:jc w:val="both"/>
        <w:rPr>
          <w:sz w:val="25"/>
          <w:szCs w:val="25"/>
        </w:rPr>
      </w:pPr>
      <w:r>
        <w:rPr>
          <w:rFonts w:ascii="Times New Roman" w:eastAsia="Times New Roman" w:hAnsi="Times New Roman" w:cs="Times New Roman"/>
          <w:sz w:val="25"/>
          <w:szCs w:val="25"/>
          <w:highlight w:val="none"/>
        </w:rPr>
        <w:t>Согласно положениям ст. 23.2 Федерального закона от 30.12.2014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реализации государственной жилищной политики, направленной на повышение гарантии защиты прав и законных интересов граждан - участников долевого строительства, функции по формированию компенсационного фонда долевого строительства за счет обязательных отчислений (взносов) застройщиков осуществляет публично-правовая компания "Фонд развития территорий" (далее - Фонд), действующая в соответствии с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pPr>
        <w:spacing w:before="0" w:after="0"/>
        <w:ind w:firstLine="710"/>
        <w:jc w:val="both"/>
        <w:rPr>
          <w:sz w:val="25"/>
          <w:szCs w:val="25"/>
        </w:rPr>
      </w:pPr>
      <w:r>
        <w:rPr>
          <w:rFonts w:ascii="Times New Roman" w:eastAsia="Times New Roman" w:hAnsi="Times New Roman" w:cs="Times New Roman"/>
          <w:sz w:val="25"/>
          <w:szCs w:val="25"/>
          <w:highlight w:val="none"/>
        </w:rPr>
        <w:t>Порядок создания, правовое положение, цели деятельности, функции, полномочия и порядок управления деятельностью публично-правовой компании "Фонд развития территорий", основания и порядок использования его имущества, в том числе принятие решения о финансировании мероприятий, предусмотренных ч. 2 ст. 13.1 Федерального закона от 29.07.2017 N 218-ФЗ "О публично-правовой компании «Фонд развития территорий» и о внесении изменений в отдельные законодательные акты Российской Федерации", детально регламентированы положениями указанного нормативно-правового акта и Правилами принятия решения Фондом о финансировании или нецелесообразности финансирования мероприятий, предусмотренных ч. 2 ст. 13.1 Федерального закона N 218, утвержденными постановлением Правительства РФ от 12.09.2019 N 1192, которые носят императивный характер и являются для Фонда обязательными.</w:t>
      </w:r>
    </w:p>
    <w:p>
      <w:pPr>
        <w:spacing w:before="0" w:after="0"/>
        <w:ind w:firstLine="710"/>
        <w:jc w:val="both"/>
        <w:rPr>
          <w:sz w:val="25"/>
          <w:szCs w:val="25"/>
        </w:rPr>
      </w:pPr>
      <w:r>
        <w:rPr>
          <w:rFonts w:ascii="Times New Roman" w:eastAsia="Times New Roman" w:hAnsi="Times New Roman" w:cs="Times New Roman"/>
          <w:sz w:val="25"/>
          <w:szCs w:val="25"/>
          <w:highlight w:val="none"/>
        </w:rPr>
        <w:t>Федеральным законом от 29.07.2017 N 218-ФЗ предусмотрены следующие механизмы по восстановлению прав граждан с участием Фонда: (1) финансирование мероприятий по завершению строительства объектов незавершенного строительства; (2) выплата возмещения гражданам.</w:t>
      </w:r>
    </w:p>
    <w:p>
      <w:pPr>
        <w:spacing w:before="0" w:after="0"/>
        <w:ind w:firstLine="710"/>
        <w:jc w:val="both"/>
        <w:rPr>
          <w:sz w:val="25"/>
          <w:szCs w:val="25"/>
        </w:rPr>
      </w:pPr>
      <w:r>
        <w:rPr>
          <w:rFonts w:ascii="Times New Roman" w:eastAsia="Times New Roman" w:hAnsi="Times New Roman" w:cs="Times New Roman"/>
          <w:sz w:val="25"/>
          <w:szCs w:val="25"/>
          <w:highlight w:val="none"/>
        </w:rPr>
        <w:t>В силу статьи 13 Федерального закона от 29.07.1998 N 135-ФЗ "Об оценочной деятельности в Российской Федерации" (далее - Закон N 135-ФЗ), в случае наличия спора о достоверности величины рыночной или иной стоимости объекта оценки, установленной в отчете, в том числе и в связи с имеющимся иным отчетом об оценке этого же объекта, указанный спор подлежит рассмотрению судом, арбитражным судом в соответствии с установленной компетенцией, третейским судом по соглашению сторон спора или договора или в порядке, установленном законодательством Российской Федерации, регулирующим оценочную деятельность.</w:t>
      </w:r>
    </w:p>
    <w:p>
      <w:pPr>
        <w:spacing w:before="0" w:after="0"/>
        <w:ind w:firstLine="710"/>
        <w:jc w:val="both"/>
        <w:rPr>
          <w:sz w:val="25"/>
          <w:szCs w:val="25"/>
        </w:rPr>
      </w:pPr>
      <w:r>
        <w:rPr>
          <w:rFonts w:ascii="Times New Roman" w:eastAsia="Times New Roman" w:hAnsi="Times New Roman" w:cs="Times New Roman"/>
          <w:sz w:val="25"/>
          <w:szCs w:val="25"/>
          <w:highlight w:val="none"/>
        </w:rPr>
        <w:t>В соответствии со статьей 12 Закона N 135-ФЗ, итоговая величина рыночной или иной стоимости объекта оценки, указанная в отчете, составленном по основаниям и в порядке, которые предусмотрены настоящим Федеральным законом, признается достоверной и рекомендуемой для целей совершения сделки с объектом оценки, если в порядке, установленном законодательством Российской Федерации, или в судебном порядке не установлено иное.</w:t>
      </w:r>
    </w:p>
    <w:p>
      <w:pPr>
        <w:spacing w:before="0" w:after="0"/>
        <w:ind w:firstLine="710"/>
        <w:jc w:val="both"/>
        <w:rPr>
          <w:sz w:val="25"/>
          <w:szCs w:val="25"/>
        </w:rPr>
      </w:pPr>
      <w:r>
        <w:rPr>
          <w:rFonts w:ascii="Times New Roman" w:eastAsia="Times New Roman" w:hAnsi="Times New Roman" w:cs="Times New Roman"/>
          <w:sz w:val="25"/>
          <w:szCs w:val="25"/>
          <w:highlight w:val="none"/>
        </w:rPr>
        <w:t xml:space="preserve">Согласно части 2 статьи 13 Федерального закона от 29.07.2017 N 218-ФЗ "О публично-правовой компании «Фонд развития территорий» и о внесении изменений в отдельные законодательные акты Российской Федерации" (далее - Закон N 218-ФЗ), выплата возмещения гражданину - участнику строительства, имеющему требование о передаче жилого помещения (жилых помещений), осуществляется в размере стоимости указанного помещения (указанных помещений), определяемой как произведение общей площади жилого помещения в многоквартирном доме и (или) жилом доме блокированной застройки, состоящем из трех и более блоков (всех жилых помещений в одном многоквартирном доме </w:t>
      </w:r>
      <w:r>
        <w:rPr>
          <w:rFonts w:ascii="Times New Roman" w:eastAsia="Times New Roman" w:hAnsi="Times New Roman" w:cs="Times New Roman"/>
          <w:sz w:val="25"/>
          <w:szCs w:val="25"/>
          <w:highlight w:val="none"/>
        </w:rPr>
        <w:t>и (или) жилом доме блокированной застройки, состоящем из трех и более блоков), подлежащего передаче гражданину - участнику строительства, но не более ста двадцати квадратных метров, и рыночной стоимости одного квадратного метра равнозначного жилого помещения (равнозначных жилых помещений) на первичном рынке, но не менее уплаченной цены договора либо размера уплаченных паевых взносов, рассчитываемых исходя из общей площади такого жилого помещения (таких жилых помещений), не превышающей ста двадцати квадратных метров. Предусмотренная настоящей частью рыночная стоимость определяется в соответствии с отчетом оценщика, привлеченного Фондом, на дату, которая не может быть более чем на три месяца ранее даты принятия Фондом решения в соответствии с частью 1 настоящей статьи. Порядок расчета размера выплаты возмещения устанавливается Правительством Российской Федерации.</w:t>
      </w:r>
    </w:p>
    <w:p>
      <w:pPr>
        <w:spacing w:before="0" w:after="0"/>
        <w:ind w:firstLine="710"/>
        <w:jc w:val="both"/>
        <w:rPr>
          <w:sz w:val="25"/>
          <w:szCs w:val="25"/>
        </w:rPr>
      </w:pPr>
      <w:r>
        <w:rPr>
          <w:rFonts w:ascii="Times New Roman" w:eastAsia="Times New Roman" w:hAnsi="Times New Roman" w:cs="Times New Roman"/>
          <w:sz w:val="25"/>
          <w:szCs w:val="25"/>
          <w:highlight w:val="none"/>
        </w:rPr>
        <w:t xml:space="preserve">Постановлением Правительства РФ от 07.10.2017 №1233 утверждены Правила выплаты публично-правовой компанией «Фонд защиты прав граждан - участников долевого строительства» возмещения гражданам - участникам строительства, имеющим требования о передаче жилых помещений, </w:t>
      </w:r>
      <w:r>
        <w:rPr>
          <w:rFonts w:ascii="Times New Roman" w:eastAsia="Times New Roman" w:hAnsi="Times New Roman" w:cs="Times New Roman"/>
          <w:sz w:val="25"/>
          <w:szCs w:val="25"/>
          <w:highlight w:val="none"/>
        </w:rPr>
        <w:t>машино</w:t>
      </w:r>
      <w:r>
        <w:rPr>
          <w:rFonts w:ascii="Times New Roman" w:eastAsia="Times New Roman" w:hAnsi="Times New Roman" w:cs="Times New Roman"/>
          <w:sz w:val="25"/>
          <w:szCs w:val="25"/>
          <w:highlight w:val="none"/>
        </w:rPr>
        <w:t>-мест и нежилых помещений (далее - Правила).</w:t>
      </w:r>
    </w:p>
    <w:p>
      <w:pPr>
        <w:spacing w:before="0" w:after="0"/>
        <w:ind w:firstLine="710"/>
        <w:jc w:val="both"/>
        <w:rPr>
          <w:sz w:val="25"/>
          <w:szCs w:val="25"/>
        </w:rPr>
      </w:pPr>
      <w:r>
        <w:rPr>
          <w:rFonts w:ascii="Times New Roman" w:eastAsia="Times New Roman" w:hAnsi="Times New Roman" w:cs="Times New Roman"/>
          <w:sz w:val="25"/>
          <w:szCs w:val="25"/>
          <w:highlight w:val="none"/>
        </w:rPr>
        <w:t>В соответствии с п. 8 Правил, выплата возмещения гражданам, имеющим требования о передаче жилых помещений, осуществляется в размере, определяемом в соответствии с методикой расчета размера возмещения гражданам, имеющим требования о передаче жилых помещений в многоквартирном доме и (или) жилом доме блокированной застройки, состоящем из 3 и более блоков (всех жилых помещений в одном многоквартирном доме и (или) жилом доме блокированной застройки, состоящем из 3 и более блоков), подлежащих передаче гражданам - участникам строительства, согласно приложению.</w:t>
      </w:r>
    </w:p>
    <w:p>
      <w:pPr>
        <w:spacing w:before="0" w:after="0"/>
        <w:ind w:firstLine="710"/>
        <w:jc w:val="both"/>
        <w:rPr>
          <w:sz w:val="25"/>
          <w:szCs w:val="25"/>
        </w:rPr>
      </w:pPr>
      <w:r>
        <w:rPr>
          <w:rFonts w:ascii="Times New Roman" w:eastAsia="Times New Roman" w:hAnsi="Times New Roman" w:cs="Times New Roman"/>
          <w:sz w:val="25"/>
          <w:szCs w:val="25"/>
          <w:highlight w:val="none"/>
        </w:rPr>
        <w:t>Приложением к Правилам является Методика расчета возмещения гражданам-участникам строительства, имеющим требование о передаче жилых помещений в многоквартирном доме и (или) жилом доме блокированной застройки, состоящем из 3 и более блоков (всех жилых помещений в одном многоквартирном доме и (или) жилом доме блокированной застройки, состоящем из 3 и более блоков) подлежащих передаче гражданам-участникам строительства (далее - Методика).</w:t>
      </w:r>
    </w:p>
    <w:p>
      <w:pPr>
        <w:spacing w:before="0" w:after="0"/>
        <w:ind w:firstLine="710"/>
        <w:jc w:val="both"/>
        <w:rPr>
          <w:sz w:val="25"/>
          <w:szCs w:val="25"/>
        </w:rPr>
      </w:pPr>
      <w:r>
        <w:rPr>
          <w:rFonts w:ascii="Times New Roman" w:eastAsia="Times New Roman" w:hAnsi="Times New Roman" w:cs="Times New Roman"/>
          <w:sz w:val="25"/>
          <w:szCs w:val="25"/>
          <w:highlight w:val="none"/>
        </w:rPr>
        <w:t>В соответствии с п. 2 Методики, выплата возмещения по договору осуществляется в размере, предусмотренном ч. 2 ст. 13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w:t>
      </w:r>
    </w:p>
    <w:p>
      <w:pPr>
        <w:spacing w:before="0" w:after="0"/>
        <w:ind w:firstLine="710"/>
        <w:jc w:val="both"/>
        <w:rPr>
          <w:sz w:val="25"/>
          <w:szCs w:val="25"/>
        </w:rPr>
      </w:pPr>
      <w:r>
        <w:rPr>
          <w:rFonts w:ascii="Times New Roman" w:eastAsia="Times New Roman" w:hAnsi="Times New Roman" w:cs="Times New Roman"/>
          <w:sz w:val="25"/>
          <w:szCs w:val="25"/>
          <w:highlight w:val="none"/>
        </w:rPr>
        <w:t xml:space="preserve">Согласно п. 3 Методики при определении </w:t>
      </w:r>
      <w:r>
        <w:rPr>
          <w:rFonts w:ascii="Times New Roman" w:eastAsia="Times New Roman" w:hAnsi="Times New Roman" w:cs="Times New Roman"/>
          <w:sz w:val="25"/>
          <w:szCs w:val="25"/>
          <w:highlight w:val="none"/>
        </w:rPr>
        <w:t>размера</w:t>
      </w:r>
      <w:r>
        <w:rPr>
          <w:rFonts w:ascii="Times New Roman" w:eastAsia="Times New Roman" w:hAnsi="Times New Roman" w:cs="Times New Roman"/>
          <w:sz w:val="25"/>
          <w:szCs w:val="25"/>
          <w:highlight w:val="none"/>
        </w:rPr>
        <w:t xml:space="preserve"> подлежащего выплате возмещения учитывается, что рыночная стоимость 1 кв. метра общей площади жилого помещения, равнозначного по отношению к жилому помещению на первичном рынке на момент выплаты возмещения. Рыночная стоимость 1 кв. метра определяется в соответствии с отчетом оценщика, привлеченного публично-правовой компанией «Фонд защиты прав граждан - участников долевого строительства». При этом для целей настоящей методики под равнозначным жилым помещением на первичном рынке понимается жилое помещение, в котором жилая площадь и количество комнат не меньше жилой площади и количества комнат жилого помещения, подлежащего передаче гражданину в соответствии с договором, а объект строительства с равнозначным жилым помещением находится в границах муниципального образования и на той же стадии строительства, на которой находится объект строительства на дату принятия арбитражным судом решения о признании застройщика банкротом и открытии конкурсного производства.</w:t>
      </w:r>
    </w:p>
    <w:p>
      <w:pPr>
        <w:spacing w:before="0" w:after="0"/>
        <w:ind w:firstLine="710"/>
        <w:jc w:val="both"/>
        <w:rPr>
          <w:sz w:val="25"/>
          <w:szCs w:val="25"/>
        </w:rPr>
      </w:pPr>
      <w:r>
        <w:rPr>
          <w:rFonts w:ascii="Times New Roman" w:eastAsia="Times New Roman" w:hAnsi="Times New Roman" w:cs="Times New Roman"/>
          <w:sz w:val="25"/>
          <w:szCs w:val="25"/>
          <w:highlight w:val="none"/>
        </w:rPr>
        <w:t xml:space="preserve">Также учету подлежат доля гражданина в праве собственности на жилое помещение, которой он обладал бы в соответствии с договором после государственной регистрации права собственности (указывается в виде правильной простой дроби) и доля исполненного гражданином обязательства по уплате цены договора, рассчитываемая по формуле. </w:t>
      </w:r>
    </w:p>
    <w:p>
      <w:pPr>
        <w:spacing w:before="0" w:after="0"/>
        <w:ind w:firstLine="710"/>
        <w:jc w:val="both"/>
        <w:rPr>
          <w:sz w:val="25"/>
          <w:szCs w:val="25"/>
        </w:rPr>
      </w:pPr>
      <w:r>
        <w:rPr>
          <w:rFonts w:ascii="Times New Roman" w:eastAsia="Times New Roman" w:hAnsi="Times New Roman" w:cs="Times New Roman"/>
          <w:sz w:val="25"/>
          <w:szCs w:val="25"/>
          <w:highlight w:val="none"/>
        </w:rPr>
        <w:t xml:space="preserve">Таким образом, императивной нормой закона установлено, что рыночная стоимость одного </w:t>
      </w:r>
      <w:r>
        <w:rPr>
          <w:rFonts w:ascii="Times New Roman" w:eastAsia="Times New Roman" w:hAnsi="Times New Roman" w:cs="Times New Roman"/>
          <w:sz w:val="25"/>
          <w:szCs w:val="25"/>
          <w:highlight w:val="none"/>
        </w:rPr>
        <w:t>квадратного метра</w:t>
      </w:r>
      <w:r>
        <w:rPr>
          <w:rFonts w:ascii="Times New Roman" w:eastAsia="Times New Roman" w:hAnsi="Times New Roman" w:cs="Times New Roman"/>
          <w:sz w:val="25"/>
          <w:szCs w:val="25"/>
          <w:highlight w:val="none"/>
        </w:rPr>
        <w:t xml:space="preserve"> учитываемого при расчете компенсационной выплаты определяется в соответствии с отчетом оценщика, привлеченного Фондом. </w:t>
      </w:r>
    </w:p>
    <w:p>
      <w:pPr>
        <w:spacing w:before="0" w:after="0"/>
        <w:ind w:firstLine="710"/>
        <w:jc w:val="both"/>
        <w:rPr>
          <w:sz w:val="25"/>
          <w:szCs w:val="25"/>
        </w:rPr>
      </w:pPr>
      <w:r>
        <w:rPr>
          <w:rFonts w:ascii="Times New Roman" w:eastAsia="Times New Roman" w:hAnsi="Times New Roman" w:cs="Times New Roman"/>
          <w:sz w:val="25"/>
          <w:szCs w:val="25"/>
          <w:highlight w:val="none"/>
        </w:rPr>
        <w:t xml:space="preserve">Судом установлено, что </w:t>
      </w:r>
      <w:r>
        <w:rPr>
          <w:rFonts w:ascii="Times New Roman" w:eastAsia="Times New Roman" w:hAnsi="Times New Roman" w:cs="Times New Roman"/>
          <w:sz w:val="25"/>
          <w:szCs w:val="25"/>
          <w:highlight w:val="none"/>
        </w:rPr>
        <w:t xml:space="preserve">30.07.2012 г. между </w:t>
      </w:r>
      <w:r>
        <w:rPr>
          <w:rFonts w:ascii="Times New Roman" w:eastAsia="Times New Roman" w:hAnsi="Times New Roman" w:cs="Times New Roman"/>
          <w:sz w:val="25"/>
          <w:szCs w:val="25"/>
          <w:highlight w:val="none"/>
        </w:rPr>
        <w:t>Кантемировой</w:t>
      </w:r>
      <w:r>
        <w:rPr>
          <w:rFonts w:ascii="Times New Roman" w:eastAsia="Times New Roman" w:hAnsi="Times New Roman" w:cs="Times New Roman"/>
          <w:sz w:val="25"/>
          <w:szCs w:val="25"/>
          <w:highlight w:val="none"/>
        </w:rPr>
        <w:t xml:space="preserve"> О.И. и ООО «Сочи-Абсолют» (застройщик) заключен договор № 69 об участии в долевом строительстве многоквартирного дома, предметом которого являлось участие сторон в строительстве многоквартирного дома на земельном участке по адресу: </w:t>
      </w:r>
      <w:r>
        <w:rPr>
          <w:rStyle w:val="cat-Addressgrp-3rplc-20"/>
          <w:rFonts w:ascii="Times New Roman" w:eastAsia="Times New Roman" w:hAnsi="Times New Roman" w:cs="Times New Roman"/>
          <w:sz w:val="25"/>
          <w:szCs w:val="25"/>
          <w:highlight w:val="none"/>
        </w:rPr>
        <w:t>адрес</w:t>
      </w:r>
      <w:r>
        <w:rPr>
          <w:rFonts w:ascii="Times New Roman" w:eastAsia="Times New Roman" w:hAnsi="Times New Roman" w:cs="Times New Roman"/>
          <w:sz w:val="25"/>
          <w:szCs w:val="25"/>
          <w:highlight w:val="none"/>
        </w:rPr>
        <w:t>, объектом долевого строительства являлась двухкомнатная квартира №</w:t>
      </w:r>
      <w:r>
        <w:rPr>
          <w:rFonts w:ascii="Times New Roman" w:eastAsia="Times New Roman" w:hAnsi="Times New Roman" w:cs="Times New Roman"/>
          <w:sz w:val="25"/>
          <w:szCs w:val="25"/>
          <w:highlight w:val="none"/>
        </w:rPr>
        <w:t> </w:t>
      </w:r>
      <w:r>
        <w:rPr>
          <w:rFonts w:ascii="Times New Roman" w:eastAsia="Times New Roman" w:hAnsi="Times New Roman" w:cs="Times New Roman"/>
          <w:sz w:val="25"/>
          <w:szCs w:val="25"/>
          <w:highlight w:val="none"/>
        </w:rPr>
        <w:t xml:space="preserve">стр.108 проектной площадью 75,25 </w:t>
      </w:r>
      <w:r>
        <w:rPr>
          <w:rFonts w:ascii="Times New Roman" w:eastAsia="Times New Roman" w:hAnsi="Times New Roman" w:cs="Times New Roman"/>
          <w:sz w:val="25"/>
          <w:szCs w:val="25"/>
          <w:highlight w:val="none"/>
        </w:rPr>
        <w:t>кв.м</w:t>
      </w:r>
      <w:r>
        <w:rPr>
          <w:rFonts w:ascii="Times New Roman" w:eastAsia="Times New Roman" w:hAnsi="Times New Roman" w:cs="Times New Roman"/>
          <w:sz w:val="25"/>
          <w:szCs w:val="25"/>
          <w:highlight w:val="none"/>
        </w:rPr>
        <w:t>. в строительных осях АД1-6, расположенная на 17-ом этаже указанного многоквартирного дома (п.1.1., п.1.2.).</w:t>
      </w:r>
    </w:p>
    <w:p>
      <w:pPr>
        <w:spacing w:before="0" w:after="0"/>
        <w:ind w:firstLine="710"/>
        <w:jc w:val="both"/>
        <w:rPr>
          <w:sz w:val="25"/>
          <w:szCs w:val="25"/>
        </w:rPr>
      </w:pPr>
      <w:r>
        <w:rPr>
          <w:rFonts w:ascii="Times New Roman" w:eastAsia="Times New Roman" w:hAnsi="Times New Roman" w:cs="Times New Roman"/>
          <w:sz w:val="25"/>
          <w:szCs w:val="25"/>
          <w:highlight w:val="none"/>
        </w:rPr>
        <w:t xml:space="preserve">Застройщик вместе с участником долевого строительства обязуются обеспечить сдачу в эксплуатацию многоквартирного дома ориентировочно в </w:t>
      </w:r>
      <w:r>
        <w:rPr>
          <w:rStyle w:val="cat-Addressgrp-4rplc-21"/>
          <w:rFonts w:ascii="Times New Roman" w:eastAsia="Times New Roman" w:hAnsi="Times New Roman" w:cs="Times New Roman"/>
          <w:sz w:val="25"/>
          <w:szCs w:val="25"/>
          <w:highlight w:val="none"/>
        </w:rPr>
        <w:t>адрес</w:t>
      </w:r>
      <w:r>
        <w:rPr>
          <w:rFonts w:ascii="Times New Roman" w:eastAsia="Times New Roman" w:hAnsi="Times New Roman" w:cs="Times New Roman"/>
          <w:sz w:val="25"/>
          <w:szCs w:val="25"/>
          <w:highlight w:val="none"/>
        </w:rPr>
        <w:t xml:space="preserve"> 2015 г. (п.1.4.)</w:t>
      </w:r>
    </w:p>
    <w:p>
      <w:pPr>
        <w:spacing w:before="0" w:after="0"/>
        <w:ind w:firstLine="710"/>
        <w:jc w:val="both"/>
        <w:rPr>
          <w:sz w:val="25"/>
          <w:szCs w:val="25"/>
        </w:rPr>
      </w:pPr>
      <w:r>
        <w:rPr>
          <w:rFonts w:ascii="Times New Roman" w:eastAsia="Times New Roman" w:hAnsi="Times New Roman" w:cs="Times New Roman"/>
          <w:sz w:val="25"/>
          <w:szCs w:val="25"/>
          <w:highlight w:val="none"/>
        </w:rPr>
        <w:t xml:space="preserve">Цена договора – размер денежных средств, подлежащих уплате участником долевого строительства, составляет </w:t>
      </w:r>
      <w:r>
        <w:rPr>
          <w:rStyle w:val="cat-Sumgrp-22rplc-22"/>
          <w:rFonts w:ascii="Times New Roman" w:eastAsia="Times New Roman" w:hAnsi="Times New Roman" w:cs="Times New Roman"/>
          <w:sz w:val="25"/>
          <w:szCs w:val="25"/>
          <w:highlight w:val="none"/>
        </w:rPr>
        <w:t>сумма</w:t>
      </w:r>
      <w:r>
        <w:rPr>
          <w:rFonts w:ascii="Times New Roman" w:eastAsia="Times New Roman" w:hAnsi="Times New Roman" w:cs="Times New Roman"/>
          <w:sz w:val="25"/>
          <w:szCs w:val="25"/>
          <w:highlight w:val="none"/>
        </w:rPr>
        <w:t xml:space="preserve"> (п.2.1.).</w:t>
      </w:r>
    </w:p>
    <w:p>
      <w:pPr>
        <w:spacing w:before="0" w:after="0"/>
        <w:ind w:firstLine="710"/>
        <w:jc w:val="both"/>
        <w:rPr>
          <w:sz w:val="25"/>
          <w:szCs w:val="25"/>
        </w:rPr>
      </w:pPr>
      <w:r>
        <w:rPr>
          <w:rFonts w:ascii="Times New Roman" w:eastAsia="Times New Roman" w:hAnsi="Times New Roman" w:cs="Times New Roman"/>
          <w:sz w:val="25"/>
          <w:szCs w:val="25"/>
          <w:highlight w:val="none"/>
        </w:rPr>
        <w:t>Из материалов дела следует, что вышеуказанный договор долевого участия зарегистрирован в ЕГРН 02.08.2012 г.</w:t>
      </w:r>
    </w:p>
    <w:p>
      <w:pPr>
        <w:spacing w:before="0" w:after="0"/>
        <w:ind w:firstLine="710"/>
        <w:jc w:val="both"/>
        <w:rPr>
          <w:sz w:val="25"/>
          <w:szCs w:val="25"/>
        </w:rPr>
      </w:pPr>
      <w:r>
        <w:rPr>
          <w:rFonts w:ascii="Times New Roman" w:eastAsia="Times New Roman" w:hAnsi="Times New Roman" w:cs="Times New Roman"/>
          <w:sz w:val="25"/>
          <w:szCs w:val="25"/>
          <w:highlight w:val="none"/>
        </w:rPr>
        <w:t>05.08.2014</w:t>
      </w:r>
      <w:r>
        <w:rPr>
          <w:rFonts w:ascii="Times New Roman" w:eastAsia="Times New Roman" w:hAnsi="Times New Roman" w:cs="Times New Roman"/>
          <w:sz w:val="25"/>
          <w:szCs w:val="25"/>
          <w:highlight w:val="none"/>
        </w:rPr>
        <w:t> </w:t>
      </w:r>
      <w:r>
        <w:rPr>
          <w:rFonts w:ascii="Times New Roman" w:eastAsia="Times New Roman" w:hAnsi="Times New Roman" w:cs="Times New Roman"/>
          <w:sz w:val="25"/>
          <w:szCs w:val="25"/>
          <w:highlight w:val="none"/>
        </w:rPr>
        <w:t xml:space="preserve">г. между </w:t>
      </w:r>
      <w:r>
        <w:rPr>
          <w:rFonts w:ascii="Times New Roman" w:eastAsia="Times New Roman" w:hAnsi="Times New Roman" w:cs="Times New Roman"/>
          <w:sz w:val="25"/>
          <w:szCs w:val="25"/>
          <w:highlight w:val="none"/>
        </w:rPr>
        <w:t>Кантемировой</w:t>
      </w:r>
      <w:r>
        <w:rPr>
          <w:rFonts w:ascii="Times New Roman" w:eastAsia="Times New Roman" w:hAnsi="Times New Roman" w:cs="Times New Roman"/>
          <w:sz w:val="25"/>
          <w:szCs w:val="25"/>
          <w:highlight w:val="none"/>
        </w:rPr>
        <w:t xml:space="preserve"> О.И. (правообладатель) и Ерченко Л.В. (правопреемник) заключен договор о передаче прав и обязанностей по договору долевого участия в строительстве многоквартирного дома №</w:t>
      </w:r>
      <w:r>
        <w:rPr>
          <w:rFonts w:ascii="Times New Roman" w:eastAsia="Times New Roman" w:hAnsi="Times New Roman" w:cs="Times New Roman"/>
          <w:sz w:val="25"/>
          <w:szCs w:val="25"/>
          <w:highlight w:val="none"/>
        </w:rPr>
        <w:t> </w:t>
      </w:r>
      <w:r>
        <w:rPr>
          <w:rFonts w:ascii="Times New Roman" w:eastAsia="Times New Roman" w:hAnsi="Times New Roman" w:cs="Times New Roman"/>
          <w:sz w:val="25"/>
          <w:szCs w:val="25"/>
          <w:highlight w:val="none"/>
        </w:rPr>
        <w:t>69 от 30.07.2012 г., согласно которому правообладатель передал свои права и обязанности правопреемнику, а правопреемник принимает соответствующие права и обязанности в полном объеме по договору долевого участия в строительстве многоквартирного дома №</w:t>
      </w:r>
      <w:r>
        <w:rPr>
          <w:rFonts w:ascii="Times New Roman" w:eastAsia="Times New Roman" w:hAnsi="Times New Roman" w:cs="Times New Roman"/>
          <w:sz w:val="25"/>
          <w:szCs w:val="25"/>
          <w:highlight w:val="none"/>
        </w:rPr>
        <w:t> </w:t>
      </w:r>
      <w:r>
        <w:rPr>
          <w:rFonts w:ascii="Times New Roman" w:eastAsia="Times New Roman" w:hAnsi="Times New Roman" w:cs="Times New Roman"/>
          <w:sz w:val="25"/>
          <w:szCs w:val="25"/>
          <w:highlight w:val="none"/>
        </w:rPr>
        <w:t>69 от 30.07.2012 г. (п.1.1.).</w:t>
      </w:r>
    </w:p>
    <w:p>
      <w:pPr>
        <w:spacing w:before="0" w:after="0"/>
        <w:ind w:firstLine="710"/>
        <w:jc w:val="both"/>
        <w:rPr>
          <w:sz w:val="25"/>
          <w:szCs w:val="25"/>
        </w:rPr>
      </w:pPr>
      <w:r>
        <w:rPr>
          <w:rFonts w:ascii="Times New Roman" w:eastAsia="Times New Roman" w:hAnsi="Times New Roman" w:cs="Times New Roman"/>
          <w:sz w:val="25"/>
          <w:szCs w:val="25"/>
          <w:highlight w:val="none"/>
        </w:rPr>
        <w:t>Стороны определили, что за переуступку прав и обязанностей по договору долевого участия в строительстве многоквартирного дома №</w:t>
      </w:r>
      <w:r>
        <w:rPr>
          <w:rFonts w:ascii="Times New Roman" w:eastAsia="Times New Roman" w:hAnsi="Times New Roman" w:cs="Times New Roman"/>
          <w:sz w:val="25"/>
          <w:szCs w:val="25"/>
          <w:highlight w:val="none"/>
        </w:rPr>
        <w:t> </w:t>
      </w:r>
      <w:r>
        <w:rPr>
          <w:rFonts w:ascii="Times New Roman" w:eastAsia="Times New Roman" w:hAnsi="Times New Roman" w:cs="Times New Roman"/>
          <w:sz w:val="25"/>
          <w:szCs w:val="25"/>
          <w:highlight w:val="none"/>
        </w:rPr>
        <w:t xml:space="preserve">69 от 30.07.2012 г. правопреемник в день подписания договора оплачивает правообладателю сумму в размере </w:t>
      </w:r>
      <w:r>
        <w:rPr>
          <w:rStyle w:val="cat-Sumgrp-22rplc-25"/>
          <w:rFonts w:ascii="Times New Roman" w:eastAsia="Times New Roman" w:hAnsi="Times New Roman" w:cs="Times New Roman"/>
          <w:sz w:val="25"/>
          <w:szCs w:val="25"/>
          <w:highlight w:val="none"/>
        </w:rPr>
        <w:t>сумма</w:t>
      </w:r>
      <w:r>
        <w:rPr>
          <w:rFonts w:ascii="Times New Roman" w:eastAsia="Times New Roman" w:hAnsi="Times New Roman" w:cs="Times New Roman"/>
          <w:sz w:val="25"/>
          <w:szCs w:val="25"/>
          <w:highlight w:val="none"/>
        </w:rPr>
        <w:t xml:space="preserve"> (п.1.4.).</w:t>
      </w:r>
    </w:p>
    <w:p>
      <w:pPr>
        <w:spacing w:before="0" w:after="0"/>
        <w:ind w:firstLine="710"/>
        <w:jc w:val="both"/>
        <w:rPr>
          <w:sz w:val="25"/>
          <w:szCs w:val="25"/>
        </w:rPr>
      </w:pPr>
      <w:r>
        <w:rPr>
          <w:rFonts w:ascii="Times New Roman" w:eastAsia="Times New Roman" w:hAnsi="Times New Roman" w:cs="Times New Roman"/>
          <w:sz w:val="25"/>
          <w:szCs w:val="25"/>
          <w:highlight w:val="none"/>
        </w:rPr>
        <w:t>Денежные средства по договору уплачены правопреемником правообладателю в указанном в договоре размере, о чем в материалы дела представлена копия расписки (л.д.36); договор уступки права зарегистрирован в ЕГРН.</w:t>
      </w:r>
    </w:p>
    <w:p>
      <w:pPr>
        <w:spacing w:before="0" w:after="0"/>
        <w:ind w:firstLine="710"/>
        <w:jc w:val="both"/>
        <w:rPr>
          <w:sz w:val="25"/>
          <w:szCs w:val="25"/>
        </w:rPr>
      </w:pPr>
      <w:r>
        <w:rPr>
          <w:rFonts w:ascii="Times New Roman" w:eastAsia="Times New Roman" w:hAnsi="Times New Roman" w:cs="Times New Roman"/>
          <w:sz w:val="25"/>
          <w:szCs w:val="25"/>
          <w:highlight w:val="none"/>
        </w:rPr>
        <w:t xml:space="preserve">Определением Арбитражного суда Краснодарского края </w:t>
      </w:r>
      <w:r>
        <w:rPr>
          <w:rStyle w:val="cat-UserDefinedgrp-27rplc-27"/>
          <w:rFonts w:ascii="Times New Roman" w:eastAsia="Times New Roman" w:hAnsi="Times New Roman" w:cs="Times New Roman"/>
          <w:sz w:val="25"/>
          <w:szCs w:val="25"/>
          <w:highlight w:val="none"/>
        </w:rPr>
        <w:t>...</w:t>
      </w:r>
      <w:r>
        <w:rPr>
          <w:rFonts w:ascii="Times New Roman" w:eastAsia="Times New Roman" w:hAnsi="Times New Roman" w:cs="Times New Roman"/>
          <w:sz w:val="25"/>
          <w:szCs w:val="25"/>
          <w:highlight w:val="none"/>
        </w:rPr>
        <w:t xml:space="preserve"> от 24.04.2017 г. в отношении ООО «Сочи-Абсолют» введена процедура наблюдения.</w:t>
      </w:r>
    </w:p>
    <w:p>
      <w:pPr>
        <w:spacing w:before="0" w:after="0"/>
        <w:ind w:firstLine="710"/>
        <w:jc w:val="both"/>
        <w:rPr>
          <w:sz w:val="25"/>
          <w:szCs w:val="25"/>
        </w:rPr>
      </w:pPr>
      <w:r>
        <w:rPr>
          <w:rFonts w:ascii="Times New Roman" w:eastAsia="Times New Roman" w:hAnsi="Times New Roman" w:cs="Times New Roman"/>
          <w:sz w:val="25"/>
          <w:szCs w:val="25"/>
          <w:highlight w:val="none"/>
        </w:rPr>
        <w:t xml:space="preserve">Определением Арбитражного суда Краснодарского края </w:t>
      </w:r>
      <w:r>
        <w:rPr>
          <w:rStyle w:val="cat-UserDefinedgrp-27rplc-29"/>
          <w:rFonts w:ascii="Times New Roman" w:eastAsia="Times New Roman" w:hAnsi="Times New Roman" w:cs="Times New Roman"/>
          <w:sz w:val="25"/>
          <w:szCs w:val="25"/>
          <w:highlight w:val="none"/>
        </w:rPr>
        <w:t>...</w:t>
      </w:r>
      <w:r>
        <w:rPr>
          <w:rFonts w:ascii="Times New Roman" w:eastAsia="Times New Roman" w:hAnsi="Times New Roman" w:cs="Times New Roman"/>
          <w:sz w:val="25"/>
          <w:szCs w:val="25"/>
          <w:highlight w:val="none"/>
        </w:rPr>
        <w:t xml:space="preserve"> от 26.11.2018 г. ООО «Сочи-Абсолют» признано несостоятельным (банкротом), открыто конкурсное производство.</w:t>
      </w:r>
    </w:p>
    <w:p>
      <w:pPr>
        <w:spacing w:before="0" w:after="0"/>
        <w:ind w:firstLine="710"/>
        <w:jc w:val="both"/>
        <w:rPr>
          <w:sz w:val="25"/>
          <w:szCs w:val="25"/>
        </w:rPr>
      </w:pPr>
      <w:r>
        <w:rPr>
          <w:rFonts w:ascii="Times New Roman" w:eastAsia="Times New Roman" w:hAnsi="Times New Roman" w:cs="Times New Roman"/>
          <w:sz w:val="25"/>
          <w:szCs w:val="25"/>
          <w:highlight w:val="none"/>
        </w:rPr>
        <w:t xml:space="preserve">Истец указывает, что из информации, содержащейся на сайте АО «ДОМ.РФ» ему стало известно о том, что во исполнение своих обязанностей перед истцом Фонд принял решение выплатить истцу денежное возмещение в сумме </w:t>
      </w:r>
      <w:r>
        <w:rPr>
          <w:rStyle w:val="cat-Sumgrp-23rplc-30"/>
          <w:rFonts w:ascii="Times New Roman" w:eastAsia="Times New Roman" w:hAnsi="Times New Roman" w:cs="Times New Roman"/>
          <w:sz w:val="25"/>
          <w:szCs w:val="25"/>
          <w:highlight w:val="none"/>
        </w:rPr>
        <w:t>сумма</w:t>
      </w:r>
      <w:r>
        <w:rPr>
          <w:rFonts w:ascii="Times New Roman" w:eastAsia="Times New Roman" w:hAnsi="Times New Roman" w:cs="Times New Roman"/>
          <w:sz w:val="25"/>
          <w:szCs w:val="25"/>
          <w:highlight w:val="none"/>
        </w:rPr>
        <w:t>,</w:t>
      </w:r>
      <w:r>
        <w:rPr>
          <w:rFonts w:ascii="Times New Roman" w:eastAsia="Times New Roman" w:hAnsi="Times New Roman" w:cs="Times New Roman"/>
          <w:sz w:val="25"/>
          <w:szCs w:val="25"/>
          <w:highlight w:val="none"/>
        </w:rPr>
        <w:t xml:space="preserve"> что составляет </w:t>
      </w:r>
      <w:r>
        <w:rPr>
          <w:rStyle w:val="cat-Sumgrp-24rplc-31"/>
          <w:rFonts w:ascii="Times New Roman" w:eastAsia="Times New Roman" w:hAnsi="Times New Roman" w:cs="Times New Roman"/>
          <w:sz w:val="25"/>
          <w:szCs w:val="25"/>
          <w:highlight w:val="none"/>
        </w:rPr>
        <w:t>сумма</w:t>
      </w:r>
      <w:r>
        <w:rPr>
          <w:rFonts w:ascii="Times New Roman" w:eastAsia="Times New Roman" w:hAnsi="Times New Roman" w:cs="Times New Roman"/>
          <w:sz w:val="25"/>
          <w:szCs w:val="25"/>
          <w:highlight w:val="none"/>
        </w:rPr>
        <w:t xml:space="preserve"> за 1 </w:t>
      </w:r>
      <w:r>
        <w:rPr>
          <w:rFonts w:ascii="Times New Roman" w:eastAsia="Times New Roman" w:hAnsi="Times New Roman" w:cs="Times New Roman"/>
          <w:sz w:val="25"/>
          <w:szCs w:val="25"/>
          <w:highlight w:val="none"/>
        </w:rPr>
        <w:t>кв.м</w:t>
      </w:r>
      <w:r>
        <w:rPr>
          <w:rFonts w:ascii="Times New Roman" w:eastAsia="Times New Roman" w:hAnsi="Times New Roman" w:cs="Times New Roman"/>
          <w:sz w:val="25"/>
          <w:szCs w:val="25"/>
          <w:highlight w:val="none"/>
        </w:rPr>
        <w:t>.</w:t>
      </w:r>
    </w:p>
    <w:p>
      <w:pPr>
        <w:spacing w:before="0" w:after="0"/>
        <w:ind w:firstLine="710"/>
        <w:jc w:val="both"/>
        <w:rPr>
          <w:sz w:val="25"/>
          <w:szCs w:val="25"/>
        </w:rPr>
      </w:pPr>
      <w:r>
        <w:rPr>
          <w:rFonts w:ascii="Times New Roman" w:eastAsia="Times New Roman" w:hAnsi="Times New Roman" w:cs="Times New Roman"/>
          <w:sz w:val="25"/>
          <w:szCs w:val="25"/>
          <w:highlight w:val="none"/>
        </w:rPr>
        <w:t>Из возражений ответчика АО «ДОМ.РФ» следует, что АО «ДОМ.РФ» не является участником рассматриваемых правоотношений, решение о выплате не принимал, выплаты не осуществляет, согласно иску требование основано на правоотношениях, сложившихся в связи с выплатой возмещения истцу ППК «Фонд развития территорий» в соответствии с компетенцией, предусмотренной ч.3 ст.3 ФЗ от 29.07.2017 г. №</w:t>
      </w:r>
      <w:r>
        <w:rPr>
          <w:rFonts w:ascii="Times New Roman" w:eastAsia="Times New Roman" w:hAnsi="Times New Roman" w:cs="Times New Roman"/>
          <w:sz w:val="25"/>
          <w:szCs w:val="25"/>
          <w:highlight w:val="none"/>
        </w:rPr>
        <w:t> </w:t>
      </w:r>
      <w:r>
        <w:rPr>
          <w:rFonts w:ascii="Times New Roman" w:eastAsia="Times New Roman" w:hAnsi="Times New Roman" w:cs="Times New Roman"/>
          <w:sz w:val="25"/>
          <w:szCs w:val="25"/>
          <w:highlight w:val="none"/>
        </w:rPr>
        <w:t>218-ФЗ «О публично-правовой компании «Фонд развития территорий» и о внесении изменений в отдельные законодательные акты РФ».</w:t>
      </w:r>
    </w:p>
    <w:p>
      <w:pPr>
        <w:spacing w:before="0" w:after="0" w:line="250" w:lineRule="atLeast"/>
        <w:ind w:firstLine="710"/>
        <w:jc w:val="both"/>
      </w:pPr>
      <w:r>
        <w:rPr>
          <w:rFonts w:ascii="Times New Roman" w:eastAsia="Times New Roman" w:hAnsi="Times New Roman" w:cs="Times New Roman"/>
          <w:sz w:val="25"/>
          <w:szCs w:val="25"/>
          <w:highlight w:val="none"/>
        </w:rPr>
        <w:t xml:space="preserve">Из ответа ППК «Фонд развития территорий» от 07.06.2022 г. на обращение Ерченко Л.В. следует, что наблюдательным советом Фонда 31.03.2021 г. принято решение о выплате возмещения гражданам – участникам долевого строительства жилого дома, расположенного по адресу: </w:t>
      </w:r>
      <w:r>
        <w:rPr>
          <w:rStyle w:val="cat-Addressgrp-6rplc-33"/>
          <w:rFonts w:ascii="Times New Roman" w:eastAsia="Times New Roman" w:hAnsi="Times New Roman" w:cs="Times New Roman"/>
          <w:sz w:val="25"/>
          <w:szCs w:val="25"/>
          <w:highlight w:val="none"/>
        </w:rPr>
        <w:t>адрес</w:t>
      </w:r>
      <w:r>
        <w:rPr>
          <w:rFonts w:ascii="Times New Roman" w:eastAsia="Times New Roman" w:hAnsi="Times New Roman" w:cs="Times New Roman"/>
          <w:sz w:val="25"/>
          <w:szCs w:val="25"/>
          <w:highlight w:val="none"/>
        </w:rPr>
        <w:t>, в районе домов 5, 7, строительство которого осуществлялось ООО «Сочи-Абсолют». 18.05.2021 г. банком-</w:t>
      </w:r>
      <w:r>
        <w:rPr>
          <w:rFonts w:ascii="Times New Roman" w:eastAsia="Times New Roman" w:hAnsi="Times New Roman" w:cs="Times New Roman"/>
          <w:sz w:val="25"/>
          <w:szCs w:val="25"/>
          <w:highlight w:val="none"/>
        </w:rPr>
        <w:t xml:space="preserve">агентом Фонда АО «Банк ДОМ.РФ» Ерченко Л.В. произведена выплата возмещения в размере </w:t>
      </w:r>
      <w:r>
        <w:rPr>
          <w:rStyle w:val="cat-Sumgrp-23rplc-36"/>
          <w:rFonts w:ascii="Times New Roman" w:eastAsia="Times New Roman" w:hAnsi="Times New Roman" w:cs="Times New Roman"/>
          <w:sz w:val="25"/>
          <w:szCs w:val="25"/>
          <w:highlight w:val="none"/>
        </w:rPr>
        <w:t>сумма</w:t>
      </w:r>
      <w:r>
        <w:rPr>
          <w:rFonts w:ascii="Times New Roman" w:eastAsia="Times New Roman" w:hAnsi="Times New Roman" w:cs="Times New Roman"/>
          <w:sz w:val="25"/>
          <w:szCs w:val="25"/>
          <w:highlight w:val="none"/>
        </w:rPr>
        <w:t xml:space="preserve"> (т.2 л.д.57).</w:t>
      </w:r>
    </w:p>
    <w:p>
      <w:pPr>
        <w:spacing w:before="0" w:after="0" w:line="250" w:lineRule="atLeast"/>
        <w:ind w:firstLine="710"/>
        <w:jc w:val="both"/>
      </w:pPr>
      <w:r>
        <w:rPr>
          <w:rFonts w:ascii="Times New Roman" w:eastAsia="Times New Roman" w:hAnsi="Times New Roman" w:cs="Times New Roman"/>
          <w:sz w:val="25"/>
          <w:szCs w:val="25"/>
          <w:highlight w:val="none"/>
        </w:rPr>
        <w:t xml:space="preserve">В исковом заявлении истец указывал, что, получив указанную сумму, попытался найти строящийся жилой дом в </w:t>
      </w:r>
      <w:r>
        <w:rPr>
          <w:rFonts w:ascii="Times New Roman" w:eastAsia="Times New Roman" w:hAnsi="Times New Roman" w:cs="Times New Roman"/>
          <w:sz w:val="25"/>
          <w:szCs w:val="25"/>
          <w:highlight w:val="none"/>
        </w:rPr>
        <w:t>г.Сочи</w:t>
      </w:r>
      <w:r>
        <w:rPr>
          <w:rFonts w:ascii="Times New Roman" w:eastAsia="Times New Roman" w:hAnsi="Times New Roman" w:cs="Times New Roman"/>
          <w:sz w:val="25"/>
          <w:szCs w:val="25"/>
          <w:highlight w:val="none"/>
        </w:rPr>
        <w:t xml:space="preserve">, в котором можно было бы приобрести за эти деньги право требования на равнозначное жилье не менее 75 </w:t>
      </w:r>
      <w:r>
        <w:rPr>
          <w:rFonts w:ascii="Times New Roman" w:eastAsia="Times New Roman" w:hAnsi="Times New Roman" w:cs="Times New Roman"/>
          <w:sz w:val="25"/>
          <w:szCs w:val="25"/>
          <w:highlight w:val="none"/>
        </w:rPr>
        <w:t>кв.м</w:t>
      </w:r>
      <w:r>
        <w:rPr>
          <w:rFonts w:ascii="Times New Roman" w:eastAsia="Times New Roman" w:hAnsi="Times New Roman" w:cs="Times New Roman"/>
          <w:sz w:val="25"/>
          <w:szCs w:val="25"/>
          <w:highlight w:val="none"/>
        </w:rPr>
        <w:t xml:space="preserve">., однако в результате долгих поисков найти такой дом не представилось возможным, поскольку рыночная стоимость жилых помещений в новостройках Сочи значительно больше суммы, полученной истцом от ответчика. Стадия строительства ЖК «Абсолют» составляет около 30%, следовательно, надлежащим выполнением обязательств Фонда перед истцом должна быть сумма, за которую истец сможет приобрести в новостройке </w:t>
      </w:r>
      <w:r>
        <w:rPr>
          <w:rStyle w:val="cat-Addressgrp-8rplc-38"/>
          <w:rFonts w:ascii="Times New Roman" w:eastAsia="Times New Roman" w:hAnsi="Times New Roman" w:cs="Times New Roman"/>
          <w:sz w:val="25"/>
          <w:szCs w:val="25"/>
          <w:highlight w:val="none"/>
        </w:rPr>
        <w:t>адрес</w:t>
      </w:r>
      <w:r>
        <w:rPr>
          <w:rFonts w:ascii="Times New Roman" w:eastAsia="Times New Roman" w:hAnsi="Times New Roman" w:cs="Times New Roman"/>
          <w:sz w:val="25"/>
          <w:szCs w:val="25"/>
          <w:highlight w:val="none"/>
        </w:rPr>
        <w:t xml:space="preserve"> право требования на жилое помещение площадью не менее 75 </w:t>
      </w:r>
      <w:r>
        <w:rPr>
          <w:rFonts w:ascii="Times New Roman" w:eastAsia="Times New Roman" w:hAnsi="Times New Roman" w:cs="Times New Roman"/>
          <w:sz w:val="25"/>
          <w:szCs w:val="25"/>
          <w:highlight w:val="none"/>
        </w:rPr>
        <w:t>кв.м</w:t>
      </w:r>
      <w:r>
        <w:rPr>
          <w:rFonts w:ascii="Times New Roman" w:eastAsia="Times New Roman" w:hAnsi="Times New Roman" w:cs="Times New Roman"/>
          <w:sz w:val="25"/>
          <w:szCs w:val="25"/>
          <w:highlight w:val="none"/>
        </w:rPr>
        <w:t xml:space="preserve">. с готовностью дома не более 30%, с этой целью он (истец) исследовал в Интернете объявления о купле-продаже квартир в новостройках </w:t>
      </w:r>
      <w:r>
        <w:rPr>
          <w:rFonts w:ascii="Times New Roman" w:eastAsia="Times New Roman" w:hAnsi="Times New Roman" w:cs="Times New Roman"/>
          <w:sz w:val="25"/>
          <w:szCs w:val="25"/>
          <w:highlight w:val="none"/>
        </w:rPr>
        <w:t>г.Сочи</w:t>
      </w:r>
      <w:r>
        <w:rPr>
          <w:rFonts w:ascii="Times New Roman" w:eastAsia="Times New Roman" w:hAnsi="Times New Roman" w:cs="Times New Roman"/>
          <w:sz w:val="25"/>
          <w:szCs w:val="25"/>
          <w:highlight w:val="none"/>
        </w:rPr>
        <w:t xml:space="preserve">, но ничего того, что можно было бы рассмотреть в качестве объекта купли-продажи не нашел, поскольку домов в </w:t>
      </w:r>
      <w:r>
        <w:rPr>
          <w:rStyle w:val="cat-Addressgrp-8rplc-40"/>
          <w:rFonts w:ascii="Times New Roman" w:eastAsia="Times New Roman" w:hAnsi="Times New Roman" w:cs="Times New Roman"/>
          <w:sz w:val="25"/>
          <w:szCs w:val="25"/>
          <w:highlight w:val="none"/>
        </w:rPr>
        <w:t>адрес</w:t>
      </w:r>
      <w:r>
        <w:rPr>
          <w:rFonts w:ascii="Times New Roman" w:eastAsia="Times New Roman" w:hAnsi="Times New Roman" w:cs="Times New Roman"/>
          <w:sz w:val="25"/>
          <w:szCs w:val="25"/>
          <w:highlight w:val="none"/>
        </w:rPr>
        <w:t xml:space="preserve"> по ФЗ-214 не строится, и рыночная стоимость 1 </w:t>
      </w:r>
      <w:r>
        <w:rPr>
          <w:rFonts w:ascii="Times New Roman" w:eastAsia="Times New Roman" w:hAnsi="Times New Roman" w:cs="Times New Roman"/>
          <w:sz w:val="25"/>
          <w:szCs w:val="25"/>
          <w:highlight w:val="none"/>
        </w:rPr>
        <w:t>кв.м</w:t>
      </w:r>
      <w:r>
        <w:rPr>
          <w:rFonts w:ascii="Times New Roman" w:eastAsia="Times New Roman" w:hAnsi="Times New Roman" w:cs="Times New Roman"/>
          <w:sz w:val="25"/>
          <w:szCs w:val="25"/>
          <w:highlight w:val="none"/>
        </w:rPr>
        <w:t>. в строящихся домах Сочи по другим основаниям составляет от 350</w:t>
      </w:r>
      <w:r>
        <w:rPr>
          <w:rFonts w:ascii="Times New Roman" w:eastAsia="Times New Roman" w:hAnsi="Times New Roman" w:cs="Times New Roman"/>
          <w:sz w:val="25"/>
          <w:szCs w:val="25"/>
          <w:highlight w:val="none"/>
        </w:rPr>
        <w:t> </w:t>
      </w:r>
      <w:r>
        <w:rPr>
          <w:rFonts w:ascii="Times New Roman" w:eastAsia="Times New Roman" w:hAnsi="Times New Roman" w:cs="Times New Roman"/>
          <w:sz w:val="25"/>
          <w:szCs w:val="25"/>
          <w:highlight w:val="none"/>
        </w:rPr>
        <w:t xml:space="preserve">000 до </w:t>
      </w:r>
      <w:r>
        <w:rPr>
          <w:rStyle w:val="cat-Sumgrp-25rplc-41"/>
          <w:rFonts w:ascii="Times New Roman" w:eastAsia="Times New Roman" w:hAnsi="Times New Roman" w:cs="Times New Roman"/>
          <w:sz w:val="25"/>
          <w:szCs w:val="25"/>
          <w:highlight w:val="none"/>
        </w:rPr>
        <w:t>сумма</w:t>
      </w:r>
      <w:r>
        <w:rPr>
          <w:rFonts w:ascii="Times New Roman" w:eastAsia="Times New Roman" w:hAnsi="Times New Roman" w:cs="Times New Roman"/>
          <w:sz w:val="25"/>
          <w:szCs w:val="25"/>
          <w:highlight w:val="none"/>
        </w:rPr>
        <w:t xml:space="preserve">, т.е. более чем в 3 раза больше той суммы, которую ему (истцу) выплатил Фонд. Таким образом, следует, что ответчик произвел неверные расчеты стоимости 1 </w:t>
      </w:r>
      <w:r>
        <w:rPr>
          <w:rFonts w:ascii="Times New Roman" w:eastAsia="Times New Roman" w:hAnsi="Times New Roman" w:cs="Times New Roman"/>
          <w:sz w:val="25"/>
          <w:szCs w:val="25"/>
          <w:highlight w:val="none"/>
        </w:rPr>
        <w:t>кв.м</w:t>
      </w:r>
      <w:r>
        <w:rPr>
          <w:rFonts w:ascii="Times New Roman" w:eastAsia="Times New Roman" w:hAnsi="Times New Roman" w:cs="Times New Roman"/>
          <w:sz w:val="25"/>
          <w:szCs w:val="25"/>
          <w:highlight w:val="none"/>
        </w:rPr>
        <w:t xml:space="preserve">. равнозначного жилого помещения на первичном рынке </w:t>
      </w:r>
      <w:r>
        <w:rPr>
          <w:rFonts w:ascii="Times New Roman" w:eastAsia="Times New Roman" w:hAnsi="Times New Roman" w:cs="Times New Roman"/>
          <w:sz w:val="25"/>
          <w:szCs w:val="25"/>
          <w:highlight w:val="none"/>
        </w:rPr>
        <w:t>г.Сочи</w:t>
      </w:r>
      <w:r>
        <w:rPr>
          <w:rFonts w:ascii="Times New Roman" w:eastAsia="Times New Roman" w:hAnsi="Times New Roman" w:cs="Times New Roman"/>
          <w:sz w:val="25"/>
          <w:szCs w:val="25"/>
          <w:highlight w:val="none"/>
        </w:rPr>
        <w:t xml:space="preserve">, в связи с чем принятые им меры по восстановлению жилищных прав истца оказались недостаточными, поскольку для этого требуется еще как минимум </w:t>
      </w:r>
      <w:r>
        <w:rPr>
          <w:rStyle w:val="cat-Sumgrp-20rplc-43"/>
          <w:rFonts w:ascii="Times New Roman" w:eastAsia="Times New Roman" w:hAnsi="Times New Roman" w:cs="Times New Roman"/>
          <w:sz w:val="25"/>
          <w:szCs w:val="25"/>
          <w:highlight w:val="none"/>
        </w:rPr>
        <w:t>сумма</w:t>
      </w:r>
      <w:r>
        <w:rPr>
          <w:rFonts w:ascii="Times New Roman" w:eastAsia="Times New Roman" w:hAnsi="Times New Roman" w:cs="Times New Roman"/>
          <w:sz w:val="25"/>
          <w:szCs w:val="25"/>
          <w:highlight w:val="none"/>
        </w:rPr>
        <w:t>, в обоснование чего в материалы дела представлен расчет (т.1 л.д.50).</w:t>
      </w:r>
    </w:p>
    <w:p>
      <w:pPr>
        <w:spacing w:before="0" w:after="0"/>
        <w:ind w:firstLine="710"/>
        <w:jc w:val="both"/>
        <w:rPr>
          <w:sz w:val="25"/>
          <w:szCs w:val="25"/>
        </w:rPr>
      </w:pPr>
      <w:r>
        <w:rPr>
          <w:rFonts w:ascii="Times New Roman" w:eastAsia="Times New Roman" w:hAnsi="Times New Roman" w:cs="Times New Roman"/>
          <w:sz w:val="25"/>
          <w:szCs w:val="25"/>
          <w:highlight w:val="none"/>
        </w:rPr>
        <w:t xml:space="preserve">Разрешая спор, и отказывая в иске, районный суд исходил из того, что Фондом был произведен расчет возмещения в соответствии с положениями Федерального закона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 Правилами выплаты возмещения, утвержденными Постановлением Правительства РФ № 1233. </w:t>
      </w:r>
    </w:p>
    <w:p>
      <w:pPr>
        <w:spacing w:before="0" w:after="0"/>
        <w:ind w:firstLine="710"/>
        <w:jc w:val="both"/>
        <w:rPr>
          <w:sz w:val="25"/>
          <w:szCs w:val="25"/>
        </w:rPr>
      </w:pPr>
      <w:r>
        <w:rPr>
          <w:rFonts w:ascii="Times New Roman" w:eastAsia="Times New Roman" w:hAnsi="Times New Roman" w:cs="Times New Roman"/>
          <w:sz w:val="25"/>
          <w:szCs w:val="25"/>
          <w:highlight w:val="none"/>
        </w:rPr>
        <w:t xml:space="preserve">Итоговая величина стоимости 1 </w:t>
      </w:r>
      <w:r>
        <w:rPr>
          <w:rFonts w:ascii="Times New Roman" w:eastAsia="Times New Roman" w:hAnsi="Times New Roman" w:cs="Times New Roman"/>
          <w:sz w:val="25"/>
          <w:szCs w:val="25"/>
          <w:highlight w:val="none"/>
        </w:rPr>
        <w:t>кв.м</w:t>
      </w:r>
      <w:r>
        <w:rPr>
          <w:rFonts w:ascii="Times New Roman" w:eastAsia="Times New Roman" w:hAnsi="Times New Roman" w:cs="Times New Roman"/>
          <w:sz w:val="25"/>
          <w:szCs w:val="25"/>
          <w:highlight w:val="none"/>
        </w:rPr>
        <w:t>., отраженная в отчете (стоимость объекта оценки), соответствует рыночной стоимости, как наиболее вероятной цене, по которой объект оценки может быть отчужден на дату оценки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w:t>
      </w:r>
    </w:p>
    <w:p>
      <w:pPr>
        <w:spacing w:before="0" w:after="0"/>
        <w:ind w:firstLine="710"/>
        <w:jc w:val="both"/>
        <w:rPr>
          <w:sz w:val="25"/>
          <w:szCs w:val="25"/>
        </w:rPr>
      </w:pPr>
      <w:r>
        <w:rPr>
          <w:rFonts w:ascii="Times New Roman" w:eastAsia="Times New Roman" w:hAnsi="Times New Roman" w:cs="Times New Roman"/>
          <w:sz w:val="25"/>
          <w:szCs w:val="25"/>
          <w:highlight w:val="none"/>
        </w:rPr>
        <w:t xml:space="preserve">В то же время истец не представил надлежащих и достаточных доказательств, подтверждающих недостоверность рыночной стоимости объекта оценки при его определении в отчете об оценке </w:t>
      </w:r>
      <w:r>
        <w:rPr>
          <w:rFonts w:ascii="Times New Roman" w:eastAsia="Times New Roman" w:hAnsi="Times New Roman" w:cs="Times New Roman"/>
          <w:sz w:val="25"/>
          <w:szCs w:val="25"/>
          <w:highlight w:val="none"/>
        </w:rPr>
        <w:t xml:space="preserve">№ </w:t>
      </w:r>
      <w:r>
        <w:rPr>
          <w:rFonts w:ascii="Times New Roman" w:eastAsia="Times New Roman" w:hAnsi="Times New Roman" w:cs="Times New Roman"/>
          <w:sz w:val="25"/>
          <w:szCs w:val="25"/>
          <w:highlight w:val="none"/>
        </w:rPr>
        <w:t>91</w:t>
      </w:r>
      <w:r>
        <w:rPr>
          <w:rFonts w:ascii="Times New Roman" w:eastAsia="Times New Roman" w:hAnsi="Times New Roman" w:cs="Times New Roman"/>
          <w:sz w:val="25"/>
          <w:szCs w:val="25"/>
          <w:highlight w:val="none"/>
        </w:rPr>
        <w:t xml:space="preserve">-ФЗП/21 от </w:t>
      </w:r>
      <w:r>
        <w:rPr>
          <w:rFonts w:ascii="Times New Roman" w:eastAsia="Times New Roman" w:hAnsi="Times New Roman" w:cs="Times New Roman"/>
          <w:sz w:val="25"/>
          <w:szCs w:val="25"/>
          <w:highlight w:val="none"/>
        </w:rPr>
        <w:t>19</w:t>
      </w:r>
      <w:r>
        <w:rPr>
          <w:rFonts w:ascii="Times New Roman" w:eastAsia="Times New Roman" w:hAnsi="Times New Roman" w:cs="Times New Roman"/>
          <w:sz w:val="25"/>
          <w:szCs w:val="25"/>
          <w:highlight w:val="none"/>
        </w:rPr>
        <w:t xml:space="preserve"> </w:t>
      </w:r>
      <w:r>
        <w:rPr>
          <w:rFonts w:ascii="Times New Roman" w:eastAsia="Times New Roman" w:hAnsi="Times New Roman" w:cs="Times New Roman"/>
          <w:sz w:val="25"/>
          <w:szCs w:val="25"/>
          <w:highlight w:val="none"/>
        </w:rPr>
        <w:t>февраля</w:t>
      </w:r>
      <w:r>
        <w:rPr>
          <w:rFonts w:ascii="Times New Roman" w:eastAsia="Times New Roman" w:hAnsi="Times New Roman" w:cs="Times New Roman"/>
          <w:sz w:val="25"/>
          <w:szCs w:val="25"/>
          <w:highlight w:val="none"/>
        </w:rPr>
        <w:t xml:space="preserve"> 2021 года</w:t>
      </w:r>
      <w:r>
        <w:rPr>
          <w:rFonts w:ascii="Times New Roman" w:eastAsia="Times New Roman" w:hAnsi="Times New Roman" w:cs="Times New Roman"/>
          <w:sz w:val="25"/>
          <w:szCs w:val="25"/>
          <w:highlight w:val="none"/>
        </w:rPr>
        <w:t>, составленный ООО «</w:t>
      </w:r>
      <w:r>
        <w:rPr>
          <w:rFonts w:ascii="Times New Roman" w:eastAsia="Times New Roman" w:hAnsi="Times New Roman" w:cs="Times New Roman"/>
          <w:sz w:val="25"/>
          <w:szCs w:val="25"/>
          <w:highlight w:val="none"/>
        </w:rPr>
        <w:t>ЭсАрДжи</w:t>
      </w:r>
      <w:r>
        <w:rPr>
          <w:rFonts w:ascii="Times New Roman" w:eastAsia="Times New Roman" w:hAnsi="Times New Roman" w:cs="Times New Roman"/>
          <w:sz w:val="25"/>
          <w:szCs w:val="25"/>
          <w:highlight w:val="none"/>
        </w:rPr>
        <w:t xml:space="preserve"> – Консалтинг».</w:t>
      </w:r>
    </w:p>
    <w:p>
      <w:pPr>
        <w:spacing w:before="0" w:after="0"/>
        <w:ind w:firstLine="710"/>
        <w:jc w:val="both"/>
        <w:rPr>
          <w:sz w:val="25"/>
          <w:szCs w:val="25"/>
        </w:rPr>
      </w:pPr>
      <w:r>
        <w:rPr>
          <w:rFonts w:ascii="Times New Roman" w:eastAsia="Times New Roman" w:hAnsi="Times New Roman" w:cs="Times New Roman"/>
          <w:sz w:val="25"/>
          <w:szCs w:val="25"/>
          <w:highlight w:val="none"/>
        </w:rPr>
        <w:t>Кроме того, суд обоснованно исходил из того, что законодательством, в том числе частью 2 статьи 13 Закона N 218-ФЗ, не предусмотрено использование отчета оценщика, не привлеченного Фондом, для целей определения рыночной стоимости квартиры, при этом удовлетворение заявленных истцом требований поставило бы истца в неравное положение относительно других участников строительства.</w:t>
      </w:r>
    </w:p>
    <w:p>
      <w:pPr>
        <w:spacing w:before="0" w:after="0"/>
        <w:ind w:firstLine="710"/>
        <w:jc w:val="both"/>
        <w:rPr>
          <w:sz w:val="25"/>
          <w:szCs w:val="25"/>
        </w:rPr>
      </w:pPr>
      <w:r>
        <w:rPr>
          <w:rFonts w:ascii="Times New Roman" w:eastAsia="Times New Roman" w:hAnsi="Times New Roman" w:cs="Times New Roman"/>
          <w:sz w:val="25"/>
          <w:szCs w:val="25"/>
          <w:highlight w:val="none"/>
        </w:rPr>
        <w:t>Судебная коллегия соглашается с указанными выводами суда первой инстанции, поскольку они основаны на правильном применении норм материального права к правильно установленным фактическим обстоятельствам дела. При рассмотрении дела и вынесении решения нарушений норм процессуального права судом допущено не было.</w:t>
      </w:r>
    </w:p>
    <w:p>
      <w:pPr>
        <w:spacing w:before="0" w:after="0"/>
        <w:ind w:firstLine="710"/>
        <w:jc w:val="both"/>
        <w:rPr>
          <w:sz w:val="25"/>
          <w:szCs w:val="25"/>
        </w:rPr>
      </w:pPr>
      <w:r>
        <w:rPr>
          <w:rFonts w:ascii="Times New Roman" w:eastAsia="Times New Roman" w:hAnsi="Times New Roman" w:cs="Times New Roman"/>
          <w:sz w:val="25"/>
          <w:szCs w:val="25"/>
          <w:highlight w:val="none"/>
        </w:rPr>
        <w:t>Доводы апелляционной жалобы</w:t>
      </w:r>
      <w:r>
        <w:rPr>
          <w:rFonts w:ascii="Times New Roman" w:eastAsia="Times New Roman" w:hAnsi="Times New Roman" w:cs="Times New Roman"/>
          <w:sz w:val="25"/>
          <w:szCs w:val="25"/>
          <w:highlight w:val="none"/>
        </w:rPr>
        <w:t xml:space="preserve"> истца</w:t>
      </w:r>
      <w:r>
        <w:rPr>
          <w:rFonts w:ascii="Times New Roman" w:eastAsia="Times New Roman" w:hAnsi="Times New Roman" w:cs="Times New Roman"/>
          <w:sz w:val="25"/>
          <w:szCs w:val="25"/>
          <w:highlight w:val="none"/>
        </w:rPr>
        <w:t xml:space="preserve"> </w:t>
      </w:r>
      <w:r>
        <w:rPr>
          <w:rFonts w:ascii="Times New Roman" w:eastAsia="Times New Roman" w:hAnsi="Times New Roman" w:cs="Times New Roman"/>
          <w:sz w:val="25"/>
          <w:szCs w:val="25"/>
          <w:highlight w:val="none"/>
        </w:rPr>
        <w:t xml:space="preserve">о том, что </w:t>
      </w:r>
      <w:r>
        <w:rPr>
          <w:rFonts w:ascii="Times New Roman" w:eastAsia="Times New Roman" w:hAnsi="Times New Roman" w:cs="Times New Roman"/>
          <w:sz w:val="25"/>
          <w:szCs w:val="25"/>
          <w:highlight w:val="none"/>
        </w:rPr>
        <w:t xml:space="preserve">суд для правильного разрешения дела не назначил судебную оценочную экспертизу, не свидетельствует о нарушении судом норм процессуального права, поскольку вопрос о </w:t>
      </w:r>
      <w:r>
        <w:rPr>
          <w:rFonts w:ascii="Times New Roman" w:eastAsia="Times New Roman" w:hAnsi="Times New Roman" w:cs="Times New Roman"/>
          <w:sz w:val="25"/>
          <w:szCs w:val="25"/>
          <w:highlight w:val="none"/>
        </w:rPr>
        <w:t xml:space="preserve">необходимости </w:t>
      </w:r>
      <w:r>
        <w:rPr>
          <w:rFonts w:ascii="Times New Roman" w:eastAsia="Times New Roman" w:hAnsi="Times New Roman" w:cs="Times New Roman"/>
          <w:sz w:val="25"/>
          <w:szCs w:val="25"/>
          <w:highlight w:val="none"/>
        </w:rPr>
        <w:t>назначени</w:t>
      </w:r>
      <w:r>
        <w:rPr>
          <w:rFonts w:ascii="Times New Roman" w:eastAsia="Times New Roman" w:hAnsi="Times New Roman" w:cs="Times New Roman"/>
          <w:sz w:val="25"/>
          <w:szCs w:val="25"/>
          <w:highlight w:val="none"/>
        </w:rPr>
        <w:t>я</w:t>
      </w:r>
      <w:r>
        <w:rPr>
          <w:rFonts w:ascii="Times New Roman" w:eastAsia="Times New Roman" w:hAnsi="Times New Roman" w:cs="Times New Roman"/>
          <w:sz w:val="25"/>
          <w:szCs w:val="25"/>
          <w:highlight w:val="none"/>
        </w:rPr>
        <w:t xml:space="preserve"> экспертизы </w:t>
      </w:r>
      <w:r>
        <w:rPr>
          <w:rFonts w:ascii="Times New Roman" w:eastAsia="Times New Roman" w:hAnsi="Times New Roman" w:cs="Times New Roman"/>
          <w:sz w:val="25"/>
          <w:szCs w:val="25"/>
          <w:highlight w:val="none"/>
        </w:rPr>
        <w:t>разрешается судом в каждом конкретном случае, исходя из обстоятельств дела. В рассматриваемом случае суд не усмотрел оснований для назначения по делу экспертизы.</w:t>
      </w:r>
    </w:p>
    <w:p>
      <w:pPr>
        <w:spacing w:before="0" w:after="0"/>
        <w:ind w:firstLine="710"/>
        <w:jc w:val="both"/>
        <w:rPr>
          <w:sz w:val="25"/>
          <w:szCs w:val="25"/>
        </w:rPr>
      </w:pPr>
      <w:r>
        <w:rPr>
          <w:rFonts w:ascii="Times New Roman" w:eastAsia="Times New Roman" w:hAnsi="Times New Roman" w:cs="Times New Roman"/>
          <w:sz w:val="25"/>
          <w:szCs w:val="25"/>
          <w:highlight w:val="none"/>
        </w:rPr>
        <w:t xml:space="preserve">Ссылки истца на то, что </w:t>
      </w:r>
      <w:r>
        <w:rPr>
          <w:rFonts w:ascii="Times New Roman" w:eastAsia="Times New Roman" w:hAnsi="Times New Roman" w:cs="Times New Roman"/>
          <w:sz w:val="25"/>
          <w:szCs w:val="25"/>
          <w:highlight w:val="none"/>
        </w:rPr>
        <w:t>привлеченный Фондом</w:t>
      </w:r>
      <w:r>
        <w:rPr>
          <w:rFonts w:ascii="Times New Roman" w:eastAsia="Times New Roman" w:hAnsi="Times New Roman" w:cs="Times New Roman"/>
          <w:sz w:val="25"/>
          <w:szCs w:val="25"/>
          <w:highlight w:val="none"/>
        </w:rPr>
        <w:t xml:space="preserve"> оценщик</w:t>
      </w:r>
      <w:r>
        <w:rPr>
          <w:rFonts w:ascii="Times New Roman" w:eastAsia="Times New Roman" w:hAnsi="Times New Roman" w:cs="Times New Roman"/>
          <w:sz w:val="25"/>
          <w:szCs w:val="25"/>
          <w:highlight w:val="none"/>
        </w:rPr>
        <w:t xml:space="preserve"> занизил стоимость одного квадратного метра квартиры</w:t>
      </w:r>
      <w:r>
        <w:rPr>
          <w:rFonts w:ascii="Times New Roman" w:eastAsia="Times New Roman" w:hAnsi="Times New Roman" w:cs="Times New Roman"/>
          <w:sz w:val="25"/>
          <w:szCs w:val="25"/>
          <w:highlight w:val="none"/>
        </w:rPr>
        <w:t>,</w:t>
      </w:r>
      <w:r>
        <w:rPr>
          <w:rFonts w:ascii="Times New Roman" w:eastAsia="Times New Roman" w:hAnsi="Times New Roman" w:cs="Times New Roman"/>
          <w:sz w:val="25"/>
          <w:szCs w:val="25"/>
          <w:highlight w:val="none"/>
        </w:rPr>
        <w:t xml:space="preserve"> был</w:t>
      </w:r>
      <w:r>
        <w:rPr>
          <w:rFonts w:ascii="Times New Roman" w:eastAsia="Times New Roman" w:hAnsi="Times New Roman" w:cs="Times New Roman"/>
          <w:sz w:val="25"/>
          <w:szCs w:val="25"/>
          <w:highlight w:val="none"/>
        </w:rPr>
        <w:t>и</w:t>
      </w:r>
      <w:r>
        <w:rPr>
          <w:rFonts w:ascii="Times New Roman" w:eastAsia="Times New Roman" w:hAnsi="Times New Roman" w:cs="Times New Roman"/>
          <w:sz w:val="25"/>
          <w:szCs w:val="25"/>
          <w:highlight w:val="none"/>
        </w:rPr>
        <w:t xml:space="preserve"> предметом исследования суда первой инстанции, </w:t>
      </w:r>
      <w:r>
        <w:rPr>
          <w:rFonts w:ascii="Times New Roman" w:eastAsia="Times New Roman" w:hAnsi="Times New Roman" w:cs="Times New Roman"/>
          <w:sz w:val="25"/>
          <w:szCs w:val="25"/>
          <w:highlight w:val="none"/>
        </w:rPr>
        <w:t>обоснованно отклонены судом</w:t>
      </w:r>
      <w:r>
        <w:rPr>
          <w:rFonts w:ascii="Times New Roman" w:eastAsia="Times New Roman" w:hAnsi="Times New Roman" w:cs="Times New Roman"/>
          <w:sz w:val="25"/>
          <w:szCs w:val="25"/>
          <w:highlight w:val="none"/>
        </w:rPr>
        <w:t xml:space="preserve">, </w:t>
      </w:r>
      <w:r>
        <w:rPr>
          <w:rFonts w:ascii="Times New Roman" w:eastAsia="Times New Roman" w:hAnsi="Times New Roman" w:cs="Times New Roman"/>
          <w:sz w:val="25"/>
          <w:szCs w:val="25"/>
          <w:highlight w:val="none"/>
        </w:rPr>
        <w:t>поскольку надлежащих и достаточных доказательств, подтверждающих недостоверность рыночной стоимости объекта оценки при его определении в отчете оценщика, привлеченного Фондом, истц</w:t>
      </w:r>
      <w:r>
        <w:rPr>
          <w:rFonts w:ascii="Times New Roman" w:eastAsia="Times New Roman" w:hAnsi="Times New Roman" w:cs="Times New Roman"/>
          <w:sz w:val="25"/>
          <w:szCs w:val="25"/>
          <w:highlight w:val="none"/>
        </w:rPr>
        <w:t>ом не представлено</w:t>
      </w:r>
      <w:r>
        <w:rPr>
          <w:rFonts w:ascii="Times New Roman" w:eastAsia="Times New Roman" w:hAnsi="Times New Roman" w:cs="Times New Roman"/>
          <w:sz w:val="25"/>
          <w:szCs w:val="25"/>
          <w:highlight w:val="none"/>
        </w:rPr>
        <w:t xml:space="preserve">. </w:t>
      </w:r>
    </w:p>
    <w:p>
      <w:pPr>
        <w:spacing w:before="0" w:after="0"/>
        <w:ind w:firstLine="710"/>
        <w:jc w:val="both"/>
        <w:rPr>
          <w:sz w:val="25"/>
          <w:szCs w:val="25"/>
        </w:rPr>
      </w:pPr>
      <w:r>
        <w:rPr>
          <w:rFonts w:ascii="Times New Roman" w:eastAsia="Times New Roman" w:hAnsi="Times New Roman" w:cs="Times New Roman"/>
          <w:sz w:val="25"/>
          <w:szCs w:val="25"/>
          <w:highlight w:val="none"/>
        </w:rPr>
        <w:t>Учитывая указанные обстоятельства</w:t>
      </w:r>
      <w:r>
        <w:rPr>
          <w:rFonts w:ascii="Times New Roman" w:eastAsia="Times New Roman" w:hAnsi="Times New Roman" w:cs="Times New Roman"/>
          <w:sz w:val="25"/>
          <w:szCs w:val="25"/>
          <w:highlight w:val="none"/>
        </w:rPr>
        <w:t xml:space="preserve">, то, что лишь одного несогласия истца с экспертным заключением, подготовленным по инициативе Фонда, недостаточно для назначения по делу судебной экспертизы, </w:t>
      </w:r>
      <w:r>
        <w:rPr>
          <w:rFonts w:ascii="Times New Roman" w:eastAsia="Times New Roman" w:hAnsi="Times New Roman" w:cs="Times New Roman"/>
          <w:sz w:val="25"/>
          <w:szCs w:val="25"/>
          <w:highlight w:val="none"/>
        </w:rPr>
        <w:t xml:space="preserve">правовых оснований для назначения по делу судебной оценочной экспертизы суд первой инстанции обоснованно не нашел. </w:t>
      </w:r>
    </w:p>
    <w:p>
      <w:pPr>
        <w:spacing w:before="0" w:after="0"/>
        <w:ind w:firstLine="710"/>
        <w:jc w:val="both"/>
        <w:rPr>
          <w:sz w:val="25"/>
          <w:szCs w:val="25"/>
        </w:rPr>
      </w:pPr>
      <w:r>
        <w:rPr>
          <w:rFonts w:ascii="Times New Roman" w:eastAsia="Times New Roman" w:hAnsi="Times New Roman" w:cs="Times New Roman"/>
          <w:sz w:val="25"/>
          <w:szCs w:val="25"/>
          <w:highlight w:val="none"/>
        </w:rPr>
        <w:t>В целом доводы, изложенные в апелляционной жалобе, не содержат фактов, которые не были бы проверены и не учтены судом первой инстанции при рассмотрении дела и имели бы юридическое значение для вынесения судебного акта по существу, влияли на обоснованность и законность судебного решения, либо опровергали изложенные выводы суда первой инстанции, направлены на переоценку собранных по делу доказательств, в связи с чем не могут служить основанием для отмены или изменения решения суда.</w:t>
      </w:r>
    </w:p>
    <w:p>
      <w:pPr>
        <w:widowControl w:val="0"/>
        <w:spacing w:before="0" w:after="0"/>
        <w:ind w:firstLine="710"/>
        <w:jc w:val="both"/>
        <w:rPr>
          <w:sz w:val="25"/>
          <w:szCs w:val="25"/>
        </w:rPr>
      </w:pPr>
      <w:r>
        <w:rPr>
          <w:rFonts w:ascii="Times New Roman" w:eastAsia="Times New Roman" w:hAnsi="Times New Roman" w:cs="Times New Roman"/>
          <w:sz w:val="25"/>
          <w:szCs w:val="25"/>
          <w:highlight w:val="none"/>
        </w:rPr>
        <w:t>Разрешая спор, суд правильно определил юридически значимые обстоятельства, дал правовую оценку установленным обстоятельствам и постановил законное и обоснованное решение. Выводы суда соответствуют обстоятельствам дела. Нарушений норм процессуального права, влекущих отмену решения, судом допущено не было.</w:t>
      </w:r>
    </w:p>
    <w:p>
      <w:pPr>
        <w:widowControl w:val="0"/>
        <w:spacing w:before="0" w:after="0"/>
        <w:ind w:firstLine="710"/>
        <w:jc w:val="both"/>
        <w:rPr>
          <w:sz w:val="25"/>
          <w:szCs w:val="25"/>
        </w:rPr>
      </w:pPr>
      <w:r>
        <w:rPr>
          <w:rFonts w:ascii="Times New Roman" w:eastAsia="Times New Roman" w:hAnsi="Times New Roman" w:cs="Times New Roman"/>
          <w:sz w:val="25"/>
          <w:szCs w:val="25"/>
          <w:highlight w:val="none"/>
        </w:rPr>
        <w:t>На основании изложенного, руководствуясь ст. ст. 328, 329 ГПК РФ, судебная коллегия</w:t>
      </w:r>
      <w:r>
        <w:rPr>
          <w:rFonts w:ascii="Times New Roman" w:eastAsia="Times New Roman" w:hAnsi="Times New Roman" w:cs="Times New Roman"/>
          <w:sz w:val="25"/>
          <w:szCs w:val="25"/>
          <w:highlight w:val="none"/>
        </w:rPr>
        <w:t>,</w:t>
      </w:r>
    </w:p>
    <w:p>
      <w:pPr>
        <w:widowControl w:val="0"/>
        <w:spacing w:before="0" w:after="0"/>
        <w:ind w:firstLine="284"/>
        <w:jc w:val="both"/>
        <w:rPr>
          <w:sz w:val="25"/>
          <w:szCs w:val="25"/>
        </w:rPr>
      </w:pPr>
    </w:p>
    <w:p>
      <w:pPr>
        <w:spacing w:before="0" w:after="0"/>
        <w:ind w:firstLine="284"/>
        <w:jc w:val="center"/>
        <w:rPr>
          <w:sz w:val="25"/>
          <w:szCs w:val="25"/>
        </w:rPr>
      </w:pPr>
      <w:r>
        <w:rPr>
          <w:rFonts w:ascii="Times New Roman" w:eastAsia="Times New Roman" w:hAnsi="Times New Roman" w:cs="Times New Roman"/>
          <w:sz w:val="25"/>
          <w:szCs w:val="25"/>
          <w:highlight w:val="none"/>
        </w:rPr>
        <w:t>ОПРЕДЕЛИЛА</w:t>
      </w:r>
    </w:p>
    <w:p>
      <w:pPr>
        <w:spacing w:before="0" w:after="0"/>
        <w:ind w:firstLine="284"/>
        <w:jc w:val="center"/>
        <w:rPr>
          <w:sz w:val="25"/>
          <w:szCs w:val="25"/>
        </w:rPr>
      </w:pPr>
    </w:p>
    <w:p>
      <w:pPr>
        <w:spacing w:before="0" w:after="0"/>
        <w:ind w:firstLine="284"/>
        <w:jc w:val="both"/>
        <w:rPr>
          <w:sz w:val="25"/>
          <w:szCs w:val="25"/>
        </w:rPr>
      </w:pPr>
      <w:r>
        <w:rPr>
          <w:rFonts w:ascii="Times New Roman" w:eastAsia="Times New Roman" w:hAnsi="Times New Roman" w:cs="Times New Roman"/>
          <w:sz w:val="25"/>
          <w:szCs w:val="25"/>
          <w:highlight w:val="none"/>
        </w:rPr>
        <w:t xml:space="preserve">Решение </w:t>
      </w:r>
      <w:r>
        <w:rPr>
          <w:rFonts w:ascii="Times New Roman" w:eastAsia="Times New Roman" w:hAnsi="Times New Roman" w:cs="Times New Roman"/>
          <w:sz w:val="25"/>
          <w:szCs w:val="25"/>
          <w:highlight w:val="none"/>
        </w:rPr>
        <w:t>Лефортовского</w:t>
      </w:r>
      <w:r>
        <w:rPr>
          <w:rFonts w:ascii="Times New Roman" w:eastAsia="Times New Roman" w:hAnsi="Times New Roman" w:cs="Times New Roman"/>
          <w:sz w:val="25"/>
          <w:szCs w:val="25"/>
          <w:highlight w:val="none"/>
        </w:rPr>
        <w:t xml:space="preserve"> </w:t>
      </w:r>
      <w:r>
        <w:rPr>
          <w:rFonts w:ascii="Times New Roman" w:eastAsia="Times New Roman" w:hAnsi="Times New Roman" w:cs="Times New Roman"/>
          <w:sz w:val="25"/>
          <w:szCs w:val="25"/>
          <w:highlight w:val="none"/>
        </w:rPr>
        <w:t xml:space="preserve">районного суда г. Москвы от </w:t>
      </w:r>
      <w:r>
        <w:rPr>
          <w:rFonts w:ascii="Times New Roman" w:eastAsia="Times New Roman" w:hAnsi="Times New Roman" w:cs="Times New Roman"/>
          <w:sz w:val="25"/>
          <w:szCs w:val="25"/>
          <w:highlight w:val="none"/>
        </w:rPr>
        <w:t>8</w:t>
      </w:r>
      <w:r>
        <w:rPr>
          <w:rFonts w:ascii="Times New Roman" w:eastAsia="Times New Roman" w:hAnsi="Times New Roman" w:cs="Times New Roman"/>
          <w:sz w:val="25"/>
          <w:szCs w:val="25"/>
          <w:highlight w:val="none"/>
        </w:rPr>
        <w:t xml:space="preserve"> </w:t>
      </w:r>
      <w:r>
        <w:rPr>
          <w:rFonts w:ascii="Times New Roman" w:eastAsia="Times New Roman" w:hAnsi="Times New Roman" w:cs="Times New Roman"/>
          <w:sz w:val="25"/>
          <w:szCs w:val="25"/>
          <w:highlight w:val="none"/>
        </w:rPr>
        <w:t>августа</w:t>
      </w:r>
      <w:r>
        <w:rPr>
          <w:rFonts w:ascii="Times New Roman" w:eastAsia="Times New Roman" w:hAnsi="Times New Roman" w:cs="Times New Roman"/>
          <w:sz w:val="25"/>
          <w:szCs w:val="25"/>
          <w:highlight w:val="none"/>
        </w:rPr>
        <w:t xml:space="preserve"> </w:t>
      </w:r>
      <w:r>
        <w:rPr>
          <w:rFonts w:ascii="Times New Roman" w:eastAsia="Times New Roman" w:hAnsi="Times New Roman" w:cs="Times New Roman"/>
          <w:sz w:val="25"/>
          <w:szCs w:val="25"/>
          <w:highlight w:val="none"/>
        </w:rPr>
        <w:t>202</w:t>
      </w:r>
      <w:r>
        <w:rPr>
          <w:rFonts w:ascii="Times New Roman" w:eastAsia="Times New Roman" w:hAnsi="Times New Roman" w:cs="Times New Roman"/>
          <w:sz w:val="25"/>
          <w:szCs w:val="25"/>
          <w:highlight w:val="none"/>
        </w:rPr>
        <w:t>3</w:t>
      </w:r>
      <w:r>
        <w:rPr>
          <w:rFonts w:ascii="Times New Roman" w:eastAsia="Times New Roman" w:hAnsi="Times New Roman" w:cs="Times New Roman"/>
          <w:sz w:val="25"/>
          <w:szCs w:val="25"/>
          <w:highlight w:val="none"/>
        </w:rPr>
        <w:t xml:space="preserve"> года оставить без изменен</w:t>
      </w:r>
      <w:r>
        <w:rPr>
          <w:rFonts w:ascii="Times New Roman" w:eastAsia="Times New Roman" w:hAnsi="Times New Roman" w:cs="Times New Roman"/>
          <w:sz w:val="25"/>
          <w:szCs w:val="25"/>
          <w:highlight w:val="none"/>
        </w:rPr>
        <w:t>ия, апелляционную жалобу</w:t>
      </w:r>
      <w:r>
        <w:rPr>
          <w:rFonts w:ascii="Times New Roman" w:eastAsia="Times New Roman" w:hAnsi="Times New Roman" w:cs="Times New Roman"/>
          <w:sz w:val="25"/>
          <w:szCs w:val="25"/>
          <w:highlight w:val="none"/>
        </w:rPr>
        <w:t xml:space="preserve">– без удовлетворения. </w:t>
      </w:r>
    </w:p>
    <w:p>
      <w:pPr>
        <w:spacing w:before="0" w:after="0"/>
        <w:ind w:firstLine="284"/>
        <w:jc w:val="both"/>
        <w:rPr>
          <w:sz w:val="25"/>
          <w:szCs w:val="25"/>
        </w:rPr>
      </w:pPr>
    </w:p>
    <w:p>
      <w:pPr>
        <w:spacing w:before="0" w:after="0"/>
        <w:ind w:firstLine="284"/>
        <w:jc w:val="both"/>
        <w:rPr>
          <w:sz w:val="25"/>
          <w:szCs w:val="25"/>
        </w:rPr>
      </w:pPr>
    </w:p>
    <w:p>
      <w:pPr>
        <w:spacing w:before="0" w:after="0"/>
        <w:ind w:firstLine="284"/>
        <w:jc w:val="both"/>
        <w:rPr>
          <w:sz w:val="25"/>
          <w:szCs w:val="25"/>
        </w:rPr>
      </w:pPr>
      <w:r>
        <w:rPr>
          <w:rFonts w:ascii="Times New Roman" w:eastAsia="Times New Roman" w:hAnsi="Times New Roman" w:cs="Times New Roman"/>
          <w:sz w:val="25"/>
          <w:szCs w:val="25"/>
          <w:highlight w:val="none"/>
        </w:rPr>
        <w:t>Председательствующий</w:t>
      </w:r>
    </w:p>
    <w:p>
      <w:pPr>
        <w:spacing w:before="0" w:after="0"/>
        <w:ind w:firstLine="284"/>
        <w:jc w:val="both"/>
        <w:rPr>
          <w:sz w:val="25"/>
          <w:szCs w:val="25"/>
        </w:rPr>
      </w:pPr>
    </w:p>
    <w:p>
      <w:pPr>
        <w:spacing w:before="0" w:after="0"/>
        <w:ind w:firstLine="284"/>
        <w:jc w:val="both"/>
        <w:rPr>
          <w:sz w:val="25"/>
          <w:szCs w:val="25"/>
        </w:rPr>
      </w:pPr>
    </w:p>
    <w:p>
      <w:pPr>
        <w:spacing w:before="0" w:after="0"/>
        <w:ind w:firstLine="284"/>
        <w:jc w:val="both"/>
        <w:rPr>
          <w:sz w:val="25"/>
          <w:szCs w:val="25"/>
        </w:rPr>
      </w:pPr>
      <w:r>
        <w:rPr>
          <w:rFonts w:ascii="Times New Roman" w:eastAsia="Times New Roman" w:hAnsi="Times New Roman" w:cs="Times New Roman"/>
          <w:sz w:val="25"/>
          <w:szCs w:val="25"/>
          <w:highlight w:val="none"/>
        </w:rPr>
        <w:t>Судьи</w:t>
      </w:r>
    </w:p>
    <w:p>
      <w:pPr>
        <w:spacing w:before="0" w:after="0"/>
        <w:ind w:firstLine="284"/>
        <w:jc w:val="both"/>
        <w:rPr>
          <w:sz w:val="25"/>
          <w:szCs w:val="25"/>
        </w:rPr>
      </w:pPr>
      <w:r>
        <w:rPr>
          <w:sz w:val="25"/>
          <w:szCs w:val="25"/>
          <w:highlight w:val="none"/>
        </w:rPr>
        <w:tab/>
      </w:r>
    </w:p>
    <w:p>
      <w:pPr>
        <w:spacing w:before="0" w:after="0"/>
        <w:ind w:firstLine="284"/>
        <w:jc w:val="both"/>
        <w:rPr>
          <w:sz w:val="25"/>
          <w:szCs w:val="25"/>
        </w:rPr>
      </w:pPr>
    </w:p>
    <w:p>
      <w:pPr>
        <w:spacing w:before="0" w:after="0"/>
        <w:ind w:firstLine="540"/>
        <w:jc w:val="both"/>
        <w:rPr>
          <w:sz w:val="25"/>
          <w:szCs w:val="25"/>
        </w:rPr>
      </w:pPr>
    </w:p>
    <w:p>
      <w:pPr>
        <w:spacing w:before="0" w:after="0"/>
        <w:ind w:firstLine="540"/>
        <w:jc w:val="both"/>
        <w:rPr>
          <w:sz w:val="25"/>
          <w:szCs w:val="25"/>
        </w:rPr>
      </w:pPr>
    </w:p>
    <w:p>
      <w:pPr>
        <w:spacing w:before="0" w:after="0"/>
        <w:ind w:firstLine="540"/>
        <w:jc w:val="both"/>
        <w:rPr>
          <w:sz w:val="25"/>
          <w:szCs w:val="25"/>
        </w:rPr>
      </w:pPr>
    </w:p>
    <w:p>
      <w:pPr>
        <w:spacing w:before="0" w:after="0"/>
        <w:ind w:firstLine="540"/>
        <w:jc w:val="both"/>
        <w:rPr>
          <w:sz w:val="25"/>
          <w:szCs w:val="25"/>
        </w:rPr>
      </w:pPr>
    </w:p>
    <w:p>
      <w:pPr>
        <w:spacing w:before="0" w:after="0"/>
        <w:ind w:firstLine="540"/>
        <w:jc w:val="both"/>
        <w:rPr>
          <w:sz w:val="25"/>
          <w:szCs w:val="25"/>
        </w:rPr>
      </w:pPr>
    </w:p>
    <w:p>
      <w:pPr>
        <w:spacing w:before="0" w:after="0"/>
        <w:ind w:firstLine="540"/>
        <w:jc w:val="both"/>
        <w:rPr>
          <w:sz w:val="25"/>
          <w:szCs w:val="25"/>
        </w:rPr>
      </w:pPr>
    </w:p>
    <w:p>
      <w:pPr>
        <w:spacing w:before="0" w:after="0"/>
        <w:ind w:firstLine="540"/>
        <w:jc w:val="both"/>
        <w:rPr>
          <w:sz w:val="25"/>
          <w:szCs w:val="25"/>
        </w:rPr>
      </w:pPr>
    </w:p>
    <w:p>
      <w:pPr>
        <w:spacing w:before="0" w:after="0"/>
        <w:ind w:firstLine="540"/>
        <w:jc w:val="both"/>
        <w:rPr>
          <w:sz w:val="25"/>
          <w:szCs w:val="25"/>
        </w:rPr>
      </w:pPr>
    </w:p>
    <w:p>
      <w:pPr>
        <w:spacing w:before="0" w:after="0"/>
        <w:ind w:firstLine="540"/>
        <w:jc w:val="both"/>
        <w:rPr>
          <w:sz w:val="25"/>
          <w:szCs w:val="25"/>
        </w:rPr>
      </w:pPr>
    </w:p>
    <w:p>
      <w:pPr>
        <w:spacing w:before="0" w:after="0"/>
        <w:ind w:firstLine="540"/>
        <w:jc w:val="both"/>
        <w:rPr>
          <w:sz w:val="25"/>
          <w:szCs w:val="25"/>
        </w:rPr>
      </w:pPr>
    </w:p>
    <w:p>
      <w:pPr>
        <w:spacing w:before="0" w:after="0"/>
        <w:ind w:firstLine="540"/>
        <w:jc w:val="both"/>
        <w:rPr>
          <w:sz w:val="25"/>
          <w:szCs w:val="25"/>
        </w:rPr>
      </w:pPr>
    </w:p>
    <w:p>
      <w:pPr>
        <w:spacing w:before="0" w:after="0"/>
        <w:ind w:firstLine="540"/>
        <w:jc w:val="both"/>
        <w:rPr>
          <w:sz w:val="25"/>
          <w:szCs w:val="25"/>
        </w:rPr>
      </w:pPr>
    </w:p>
    <w:p>
      <w:pPr>
        <w:spacing w:before="0" w:after="0"/>
        <w:ind w:firstLine="540"/>
        <w:jc w:val="both"/>
        <w:rPr>
          <w:sz w:val="25"/>
          <w:szCs w:val="25"/>
        </w:rPr>
      </w:pPr>
    </w:p>
    <w:p>
      <w:pPr>
        <w:spacing w:before="0" w:after="0"/>
        <w:ind w:firstLine="540"/>
        <w:jc w:val="both"/>
        <w:rPr>
          <w:sz w:val="25"/>
          <w:szCs w:val="25"/>
        </w:rPr>
      </w:pPr>
    </w:p>
    <w:p>
      <w:pPr>
        <w:spacing w:before="0" w:after="0"/>
        <w:jc w:val="both"/>
        <w:rPr>
          <w:sz w:val="25"/>
          <w:szCs w:val="25"/>
        </w:rPr>
      </w:pPr>
    </w:p>
    <w:p>
      <w:pPr>
        <w:spacing w:before="0" w:after="0"/>
        <w:jc w:val="both"/>
        <w:rPr>
          <w:sz w:val="25"/>
          <w:szCs w:val="25"/>
        </w:rPr>
      </w:pPr>
    </w:p>
    <w:p>
      <w:pPr>
        <w:widowControl w:val="0"/>
        <w:spacing w:before="0" w:after="0"/>
        <w:ind w:firstLine="284"/>
        <w:jc w:val="both"/>
        <w:rPr>
          <w:sz w:val="25"/>
          <w:szCs w:val="25"/>
        </w:rPr>
      </w:pPr>
      <w:r>
        <w:rPr>
          <w:rStyle w:val="cat-UserDefinedgrp-28rplc-45"/>
          <w:rFonts w:ascii="Times New Roman" w:eastAsia="Times New Roman" w:hAnsi="Times New Roman" w:cs="Times New Roman"/>
          <w:sz w:val="25"/>
          <w:szCs w:val="25"/>
          <w:highlight w:val="none"/>
        </w:rPr>
        <w:t>...</w:t>
      </w:r>
    </w:p>
    <w:p>
      <w:pPr>
        <w:spacing w:before="0" w:after="0"/>
        <w:ind w:firstLine="284"/>
        <w:jc w:val="both"/>
        <w:rPr>
          <w:sz w:val="25"/>
          <w:szCs w:val="25"/>
        </w:rPr>
      </w:pPr>
      <w:r>
        <w:rPr>
          <w:sz w:val="25"/>
          <w:szCs w:val="25"/>
          <w:highlight w:val="none"/>
        </w:rPr>
        <w:tab/>
      </w:r>
    </w:p>
    <w:p>
      <w:pPr>
        <w:spacing w:before="0" w:after="0"/>
        <w:ind w:firstLine="540"/>
        <w:jc w:val="both"/>
        <w:rPr>
          <w:sz w:val="25"/>
          <w:szCs w:val="25"/>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6rplc-10">
    <w:name w:val="cat-UserDefined grp-26 rplc-10"/>
    <w:basedOn w:val="DefaultParagraphFont"/>
  </w:style>
  <w:style w:type="character" w:customStyle="1" w:styleId="cat-Sumgrp-20rplc-12">
    <w:name w:val="cat-Sum grp-20 rplc-12"/>
    <w:basedOn w:val="DefaultParagraphFont"/>
  </w:style>
  <w:style w:type="character" w:customStyle="1" w:styleId="cat-Sumgrp-21rplc-13">
    <w:name w:val="cat-Sum grp-21 rplc-13"/>
    <w:basedOn w:val="DefaultParagraphFont"/>
  </w:style>
  <w:style w:type="character" w:customStyle="1" w:styleId="cat-Addressgrp-3rplc-20">
    <w:name w:val="cat-Address grp-3 rplc-20"/>
    <w:basedOn w:val="DefaultParagraphFont"/>
  </w:style>
  <w:style w:type="character" w:customStyle="1" w:styleId="cat-Addressgrp-4rplc-21">
    <w:name w:val="cat-Address grp-4 rplc-21"/>
    <w:basedOn w:val="DefaultParagraphFont"/>
  </w:style>
  <w:style w:type="character" w:customStyle="1" w:styleId="cat-Sumgrp-22rplc-22">
    <w:name w:val="cat-Sum grp-22 rplc-22"/>
    <w:basedOn w:val="DefaultParagraphFont"/>
  </w:style>
  <w:style w:type="character" w:customStyle="1" w:styleId="cat-Sumgrp-22rplc-25">
    <w:name w:val="cat-Sum grp-22 rplc-25"/>
    <w:basedOn w:val="DefaultParagraphFont"/>
  </w:style>
  <w:style w:type="character" w:customStyle="1" w:styleId="cat-UserDefinedgrp-27rplc-27">
    <w:name w:val="cat-UserDefined grp-27 rplc-27"/>
    <w:basedOn w:val="DefaultParagraphFont"/>
  </w:style>
  <w:style w:type="character" w:customStyle="1" w:styleId="cat-UserDefinedgrp-27rplc-29">
    <w:name w:val="cat-UserDefined grp-27 rplc-29"/>
    <w:basedOn w:val="DefaultParagraphFont"/>
  </w:style>
  <w:style w:type="character" w:customStyle="1" w:styleId="cat-Sumgrp-23rplc-30">
    <w:name w:val="cat-Sum grp-23 rplc-30"/>
    <w:basedOn w:val="DefaultParagraphFont"/>
  </w:style>
  <w:style w:type="character" w:customStyle="1" w:styleId="cat-Sumgrp-24rplc-31">
    <w:name w:val="cat-Sum grp-24 rplc-31"/>
    <w:basedOn w:val="DefaultParagraphFont"/>
  </w:style>
  <w:style w:type="character" w:customStyle="1" w:styleId="cat-Addressgrp-6rplc-33">
    <w:name w:val="cat-Address grp-6 rplc-33"/>
    <w:basedOn w:val="DefaultParagraphFont"/>
  </w:style>
  <w:style w:type="character" w:customStyle="1" w:styleId="cat-Sumgrp-23rplc-36">
    <w:name w:val="cat-Sum grp-23 rplc-36"/>
    <w:basedOn w:val="DefaultParagraphFont"/>
  </w:style>
  <w:style w:type="character" w:customStyle="1" w:styleId="cat-Addressgrp-8rplc-38">
    <w:name w:val="cat-Address grp-8 rplc-38"/>
    <w:basedOn w:val="DefaultParagraphFont"/>
  </w:style>
  <w:style w:type="character" w:customStyle="1" w:styleId="cat-Addressgrp-8rplc-40">
    <w:name w:val="cat-Address grp-8 rplc-40"/>
    <w:basedOn w:val="DefaultParagraphFont"/>
  </w:style>
  <w:style w:type="character" w:customStyle="1" w:styleId="cat-Sumgrp-25rplc-41">
    <w:name w:val="cat-Sum grp-25 rplc-41"/>
    <w:basedOn w:val="DefaultParagraphFont"/>
  </w:style>
  <w:style w:type="character" w:customStyle="1" w:styleId="cat-Sumgrp-20rplc-43">
    <w:name w:val="cat-Sum grp-20 rplc-43"/>
    <w:basedOn w:val="DefaultParagraphFont"/>
  </w:style>
  <w:style w:type="character" w:customStyle="1" w:styleId="cat-UserDefinedgrp-28rplc-45">
    <w:name w:val="cat-UserDefined grp-28 rplc-4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